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108_bis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315755</w:t>
      </w:r>
      <w:bookmarkStart w:id="1" w:name="_GoBack"/>
      <w:bookmarkEnd w:id="1"/>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Xiamen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China,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9</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15</w:t>
      </w:r>
      <w:r>
        <w:rPr>
          <w:rFonts w:ascii="Arial" w:hAnsi="Arial" w:cs="Arial"/>
          <w:b/>
          <w:bCs/>
          <w:sz w:val="24"/>
          <w:szCs w:val="24"/>
        </w:rPr>
        <w:t xml:space="preserve"> </w:t>
      </w:r>
      <w:r>
        <w:rPr>
          <w:rFonts w:hint="eastAsia" w:ascii="Arial" w:hAnsi="Arial" w:eastAsia="宋体" w:cs="Arial"/>
          <w:b/>
          <w:bCs/>
          <w:sz w:val="24"/>
          <w:szCs w:val="24"/>
          <w:lang w:val="en-US" w:eastAsia="zh-CN"/>
        </w:rPr>
        <w:t>October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outlineLvl w:val="0"/>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outlineLvl w:val="0"/>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RRM aspects in the study on LPHAP use case</w:t>
      </w:r>
    </w:p>
    <w:p>
      <w:pPr>
        <w:tabs>
          <w:tab w:val="left" w:pos="1985"/>
        </w:tabs>
        <w:spacing w:after="120" w:line="240" w:lineRule="auto"/>
        <w:outlineLvl w:val="0"/>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w:t>
      </w:r>
      <w:r>
        <w:rPr>
          <w:rFonts w:hint="eastAsia" w:ascii="Arial" w:hAnsi="Arial" w:eastAsia="宋体" w:cs="Arial"/>
          <w:b/>
          <w:bCs/>
          <w:sz w:val="24"/>
          <w:szCs w:val="20"/>
          <w:lang w:val="en-US" w:eastAsia="zh-CN"/>
        </w:rPr>
        <w:t>.22.3.3</w:t>
      </w:r>
    </w:p>
    <w:p>
      <w:pPr>
        <w:tabs>
          <w:tab w:val="left" w:pos="1985"/>
        </w:tabs>
        <w:outlineLvl w:val="0"/>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sz w:val="22"/>
          <w:szCs w:val="22"/>
        </w:rPr>
        <w:t xml:space="preserve">The Rel-18 </w:t>
      </w:r>
      <w:r>
        <w:rPr>
          <w:rFonts w:hint="eastAsia" w:eastAsia="宋体"/>
          <w:sz w:val="22"/>
          <w:szCs w:val="22"/>
          <w:lang w:val="en-US" w:eastAsia="zh-CN"/>
        </w:rPr>
        <w:t>WID</w:t>
      </w:r>
      <w:r>
        <w:rPr>
          <w:sz w:val="22"/>
          <w:szCs w:val="22"/>
        </w:rPr>
        <w:t xml:space="preserve"> [1] investigates positioning accuracy enhancement with advanced techniques of </w:t>
      </w:r>
      <w:r>
        <w:rPr>
          <w:rFonts w:hint="eastAsia" w:eastAsia="宋体"/>
          <w:sz w:val="22"/>
          <w:szCs w:val="22"/>
          <w:highlight w:val="none"/>
          <w:lang w:val="en-US" w:eastAsia="zh-CN"/>
        </w:rPr>
        <w:t xml:space="preserve"> proposed the special UE LPHAP. </w:t>
      </w:r>
      <w:r>
        <w:rPr>
          <w:sz w:val="22"/>
          <w:szCs w:val="22"/>
        </w:rPr>
        <w:t>RAN4 has been assigned the</w:t>
      </w:r>
      <w:r>
        <w:rPr>
          <w:rFonts w:hint="eastAsia" w:eastAsia="宋体"/>
          <w:sz w:val="22"/>
          <w:szCs w:val="22"/>
          <w:lang w:val="en-US" w:eastAsia="zh-CN"/>
        </w:rPr>
        <w:t xml:space="preserve"> </w:t>
      </w:r>
      <w:r>
        <w:rPr>
          <w:sz w:val="22"/>
          <w:szCs w:val="22"/>
        </w:rPr>
        <w:t>following objective</w:t>
      </w:r>
      <w:r>
        <w:rPr>
          <w:rFonts w:hint="eastAsia" w:eastAsia="宋体"/>
          <w:sz w:val="22"/>
          <w:szCs w:val="22"/>
          <w:lang w:val="en-US" w:eastAsia="zh-CN"/>
        </w:rPr>
        <w:t>s</w:t>
      </w:r>
      <w:r>
        <w:rPr>
          <w:sz w:val="22"/>
          <w:szCs w:val="22"/>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numPr>
                <w:ilvl w:val="0"/>
                <w:numId w:val="3"/>
              </w:numPr>
              <w:overflowPunct/>
              <w:autoSpaceDE/>
              <w:autoSpaceDN/>
              <w:adjustRightInd/>
              <w:spacing w:after="0"/>
              <w:textAlignment w:val="auto"/>
              <w:rPr>
                <w:rFonts w:eastAsia="MS Mincho"/>
                <w:highlight w:val="yellow"/>
                <w:lang w:val="en-US" w:eastAsia="ko-KR"/>
              </w:rPr>
            </w:pPr>
            <w:r>
              <w:rPr>
                <w:rFonts w:eastAsia="MS Mincho"/>
                <w:highlight w:val="yellow"/>
                <w:lang w:val="en-US" w:eastAsia="ko-KR"/>
              </w:rPr>
              <w:t>Specify enhancements for enabling LPHAP use-case 6 as defined in TS 22.104 including:</w:t>
            </w:r>
          </w:p>
          <w:p>
            <w:pPr>
              <w:numPr>
                <w:ilvl w:val="1"/>
                <w:numId w:val="3"/>
              </w:numPr>
              <w:overflowPunct/>
              <w:autoSpaceDE/>
              <w:autoSpaceDN/>
              <w:adjustRightInd/>
              <w:spacing w:after="0"/>
              <w:textAlignment w:val="auto"/>
              <w:rPr>
                <w:rFonts w:eastAsia="MS Mincho"/>
                <w:highlight w:val="yellow"/>
                <w:lang w:val="en-US" w:eastAsia="ko-KR"/>
              </w:rPr>
            </w:pPr>
            <w:r>
              <w:rPr>
                <w:highlight w:val="yellow"/>
                <w:lang w:val="en-US" w:eastAsia="ko-KR"/>
              </w:rPr>
              <w:t>Extending eDRX cycle beyond 10.24s in RRC_INACTIVE state towards meeting the battery life requirement for LPHAP [RAN2, RAN3, RAN4]</w:t>
            </w:r>
          </w:p>
          <w:p>
            <w:pPr>
              <w:numPr>
                <w:ilvl w:val="2"/>
                <w:numId w:val="3"/>
              </w:numPr>
              <w:overflowPunct/>
              <w:autoSpaceDE/>
              <w:autoSpaceDN/>
              <w:adjustRightInd/>
              <w:spacing w:after="0"/>
              <w:textAlignment w:val="auto"/>
              <w:rPr>
                <w:rFonts w:eastAsia="MS Mincho"/>
                <w:lang w:val="en-US" w:eastAsia="ko-KR"/>
              </w:rPr>
            </w:pPr>
            <w:r>
              <w:rPr>
                <w:rFonts w:eastAsia="MS Mincho"/>
                <w:lang w:val="en-US" w:eastAsia="ko-KR"/>
              </w:rPr>
              <w:t>Positioning-specific enhancement for eDRX cycle beyond 10.24s to be defined as part of Rel-18 WI on expanded and improved NR positioning.</w:t>
            </w:r>
          </w:p>
          <w:p>
            <w:pPr>
              <w:numPr>
                <w:ilvl w:val="3"/>
                <w:numId w:val="3"/>
              </w:numPr>
              <w:overflowPunct/>
              <w:autoSpaceDE/>
              <w:autoSpaceDN/>
              <w:adjustRightInd/>
              <w:spacing w:after="0"/>
              <w:textAlignment w:val="auto"/>
              <w:rPr>
                <w:rFonts w:eastAsia="MS Mincho"/>
                <w:lang w:val="en-US" w:eastAsia="ko-KR"/>
              </w:rPr>
            </w:pPr>
            <w:r>
              <w:rPr>
                <w:rFonts w:eastAsia="MS Mincho"/>
                <w:lang w:val="en-US" w:eastAsia="ko-KR"/>
              </w:rPr>
              <w:t>NOTE: Work on this objective should be coordinated with that in Rel-18 WI on eRedCap. Towards this, the feature of extending eDRX cycle beyond 10.24s should be defined as part of Rel-18 WI on eRedCap.</w:t>
            </w:r>
          </w:p>
          <w:p>
            <w:pPr>
              <w:numPr>
                <w:ilvl w:val="2"/>
                <w:numId w:val="3"/>
              </w:numPr>
              <w:overflowPunct/>
              <w:autoSpaceDE/>
              <w:autoSpaceDN/>
              <w:adjustRightInd/>
              <w:spacing w:after="0" w:line="276" w:lineRule="auto"/>
              <w:textAlignment w:val="auto"/>
              <w:rPr>
                <w:rFonts w:eastAsia="MS Mincho"/>
                <w:lang w:val="en-US" w:eastAsia="ko-KR"/>
              </w:rPr>
            </w:pPr>
            <w:r>
              <w:rPr>
                <w:rFonts w:eastAsia="MS Mincho"/>
                <w:lang w:val="en-US" w:eastAsia="ko-KR"/>
              </w:rPr>
              <w:t>NOTE: Inputs from RAN1 as necessary may be facilitated via LSs</w:t>
            </w:r>
          </w:p>
          <w:p>
            <w:pPr>
              <w:numPr>
                <w:ilvl w:val="1"/>
                <w:numId w:val="3"/>
              </w:numPr>
              <w:overflowPunct/>
              <w:autoSpaceDE/>
              <w:autoSpaceDN/>
              <w:adjustRightInd/>
              <w:spacing w:after="0" w:line="276" w:lineRule="auto"/>
              <w:textAlignment w:val="auto"/>
              <w:rPr>
                <w:b/>
                <w:bCs/>
              </w:rPr>
            </w:pPr>
            <w:r>
              <w:rPr>
                <w:highlight w:val="yellow"/>
                <w:lang w:val="en-US" w:eastAsia="ko-KR"/>
              </w:rPr>
              <w:t>Specify corresponding new core requirements, as well as identifying and specifying the impact on the existing RAN4 specification, including RRM measurements and procedures [RAN4].</w:t>
            </w:r>
          </w:p>
        </w:tc>
      </w:tr>
    </w:tbl>
    <w:p>
      <w:pPr>
        <w:spacing w:after="0"/>
      </w:pPr>
    </w:p>
    <w:p>
      <w:pPr>
        <w:pStyle w:val="74"/>
        <w:rPr>
          <w:rFonts w:hint="default" w:hAnsi="Cambria Math"/>
          <w:b/>
          <w:bCs/>
          <w:i w:val="0"/>
          <w:iCs/>
          <w:highlight w:val="none"/>
          <w:lang w:val="en-US" w:eastAsia="zh-CN"/>
        </w:rPr>
      </w:pPr>
      <w:r>
        <w:rPr>
          <w:lang w:val="en-US"/>
        </w:rPr>
        <w:t>Discussion</w:t>
      </w:r>
    </w:p>
    <w:p>
      <w:pPr>
        <w:pStyle w:val="3"/>
        <w:bidi w:val="0"/>
        <w:ind w:left="0" w:leftChars="0" w:firstLine="0" w:firstLineChars="0"/>
        <w:rPr>
          <w:rFonts w:hint="default"/>
          <w:sz w:val="28"/>
          <w:szCs w:val="18"/>
          <w:lang w:val="en-US" w:eastAsia="zh-CN"/>
        </w:rPr>
      </w:pPr>
      <w:r>
        <w:rPr>
          <w:rFonts w:hint="eastAsia"/>
          <w:sz w:val="28"/>
          <w:szCs w:val="18"/>
          <w:lang w:val="en-US" w:eastAsia="zh-CN"/>
        </w:rPr>
        <w:t>2.1  Low Power High Accuracy Positioning (LPHAP)</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rFonts w:hint="eastAsia" w:eastAsia="宋体"/>
          <w:sz w:val="22"/>
          <w:szCs w:val="22"/>
          <w:lang w:val="en-US" w:eastAsia="zh-CN"/>
        </w:rPr>
        <w:t>In the last meeting we have reached the agreement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highlight w:val="yellow"/>
                <w:lang w:val="en-US"/>
              </w:rPr>
            </w:pPr>
            <w:r>
              <w:rPr>
                <w:b/>
                <w:highlight w:val="yellow"/>
                <w:lang w:val="en-US"/>
              </w:rPr>
              <w:t xml:space="preserve">Issue 1-1-5: </w:t>
            </w:r>
            <w:r>
              <w:rPr>
                <w:b/>
                <w:highlight w:val="yellow"/>
              </w:rPr>
              <w:t>T</w:t>
            </w:r>
            <w:r>
              <w:rPr>
                <w:b/>
                <w:highlight w:val="yellow"/>
                <w:vertAlign w:val="subscript"/>
              </w:rPr>
              <w:t>available</w:t>
            </w:r>
            <w:r>
              <w:rPr>
                <w:b/>
                <w:highlight w:val="yellow"/>
              </w:rPr>
              <w:t xml:space="preserve"> for PRS requirements</w:t>
            </w:r>
            <w:r>
              <w:rPr>
                <w:rFonts w:hint="eastAsia"/>
                <w:b/>
                <w:highlight w:val="yellow"/>
              </w:rPr>
              <w:t xml:space="preserve"> </w:t>
            </w:r>
            <w:r>
              <w:rPr>
                <w:b/>
                <w:highlight w:val="yellow"/>
              </w:rPr>
              <w:t>with RAN eDRX &gt; 10.24s</w:t>
            </w:r>
          </w:p>
          <w:p>
            <w:pPr>
              <w:pStyle w:val="70"/>
              <w:numPr>
                <w:ilvl w:val="0"/>
                <w:numId w:val="4"/>
              </w:numPr>
              <w:overflowPunct/>
              <w:autoSpaceDE/>
              <w:autoSpaceDN/>
              <w:adjustRightInd/>
              <w:spacing w:after="120"/>
              <w:ind w:left="720" w:firstLineChars="0"/>
              <w:textAlignment w:val="auto"/>
              <w:rPr>
                <w:color w:val="0070C0"/>
              </w:rPr>
            </w:pPr>
            <w:r>
              <w:rPr>
                <w:rFonts w:hint="eastAsia"/>
                <w:color w:val="0070C0"/>
              </w:rPr>
              <w:t>Wayforward</w:t>
            </w:r>
          </w:p>
          <w:p>
            <w:pPr>
              <w:pStyle w:val="70"/>
              <w:numPr>
                <w:ilvl w:val="1"/>
                <w:numId w:val="4"/>
              </w:numPr>
              <w:ind w:firstLineChars="0"/>
            </w:pPr>
            <w:r>
              <w:t xml:space="preserve">Option 1: </w:t>
            </w:r>
          </w:p>
          <w:p>
            <w:pPr>
              <w:pStyle w:val="70"/>
              <w:numPr>
                <w:ilvl w:val="2"/>
                <w:numId w:val="4"/>
              </w:numPr>
              <w:ind w:firstLineChars="0"/>
            </w:pPr>
            <w:r>
              <w:t>T</w:t>
            </w:r>
            <w:r>
              <w:rPr>
                <w:vertAlign w:val="subscript"/>
              </w:rPr>
              <w:t>available</w:t>
            </w:r>
            <w:r>
              <w:t xml:space="preserve"> is defined as PRS periodicity TPRS.</w:t>
            </w:r>
          </w:p>
          <w:p>
            <w:pPr>
              <w:pStyle w:val="70"/>
              <w:numPr>
                <w:ilvl w:val="1"/>
                <w:numId w:val="4"/>
              </w:numPr>
              <w:ind w:firstLineChars="0"/>
            </w:pPr>
            <w:r>
              <w:t xml:space="preserve">Option 2: </w:t>
            </w:r>
          </w:p>
          <w:p>
            <w:pPr>
              <w:pStyle w:val="70"/>
              <w:numPr>
                <w:ilvl w:val="2"/>
                <w:numId w:val="4"/>
              </w:numPr>
              <w:ind w:firstLineChars="0"/>
            </w:pPr>
            <w:r>
              <w:t>T</w:t>
            </w:r>
            <w:r>
              <w:rPr>
                <w:vertAlign w:val="subscript"/>
              </w:rPr>
              <w:t>available</w:t>
            </w:r>
            <w:r>
              <w:t xml:space="preserve"> is LCM (T</w:t>
            </w:r>
            <w:r>
              <w:rPr>
                <w:vertAlign w:val="subscript"/>
              </w:rPr>
              <w:t>PRS,i</w:t>
            </w:r>
            <w:r>
              <w:t>, T</w:t>
            </w:r>
            <w:r>
              <w:rPr>
                <w:vertAlign w:val="subscript"/>
              </w:rPr>
              <w:t>DRX</w:t>
            </w:r>
            <w:r>
              <w:t>), and T</w:t>
            </w:r>
            <w:r>
              <w:rPr>
                <w:vertAlign w:val="subscript"/>
              </w:rPr>
              <w:t>DRX</w:t>
            </w:r>
            <w:r>
              <w:t xml:space="preserve"> is the maximum of the DRX cycles within the CN PTW and the RAN PTW, according to RAN2 definitions of UE DRX cycle in Rel-18 eRedCap.</w:t>
            </w:r>
          </w:p>
          <w:p>
            <w:pPr>
              <w:pStyle w:val="70"/>
              <w:numPr>
                <w:ilvl w:val="1"/>
                <w:numId w:val="4"/>
              </w:numPr>
              <w:ind w:firstLineChars="0"/>
            </w:pPr>
            <w:r>
              <w:t xml:space="preserve">Option 3: </w:t>
            </w:r>
          </w:p>
          <w:p>
            <w:pPr>
              <w:pStyle w:val="70"/>
              <w:numPr>
                <w:ilvl w:val="2"/>
                <w:numId w:val="4"/>
              </w:numPr>
              <w:ind w:firstLineChars="0"/>
              <w:rPr>
                <w:rFonts w:hint="default" w:eastAsia="宋体"/>
                <w:vertAlign w:val="baseline"/>
                <w:lang w:val="en-US" w:eastAsia="zh-CN"/>
              </w:rPr>
            </w:pPr>
            <w:r>
              <w:t>FFS</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sz w:val="22"/>
          <w:szCs w:val="22"/>
        </w:rPr>
        <w:t>Low power high accuracy positioning is an integral part of a considerable number of industrial applications. 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w:t>
      </w:r>
      <w:r>
        <w:rPr>
          <w:rFonts w:hint="eastAsia" w:eastAsia="宋体"/>
          <w:sz w:val="22"/>
          <w:szCs w:val="22"/>
          <w:lang w:val="en-US" w:eastAsia="zh-CN"/>
        </w:rPr>
        <w:t>-</w:t>
      </w:r>
      <w:r>
        <w:rPr>
          <w:sz w:val="22"/>
          <w:szCs w:val="22"/>
        </w:rPr>
        <w:t xml:space="preserve">controller, and self-discharge of batteries into account.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sz w:val="22"/>
          <w:szCs w:val="22"/>
        </w:rPr>
        <w:t xml:space="preserve">Examples of target applications for low power high accuracy positioning are asset tracking in process automation, tracking of vehicles, and tool tracking.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sz w:val="22"/>
          <w:szCs w:val="22"/>
        </w:rPr>
        <w:t xml:space="preserve">Table </w:t>
      </w:r>
      <w:r>
        <w:rPr>
          <w:rFonts w:hint="eastAsia" w:eastAsia="宋体"/>
          <w:sz w:val="22"/>
          <w:szCs w:val="22"/>
          <w:lang w:val="en-US" w:eastAsia="zh-CN"/>
        </w:rPr>
        <w:t>2</w:t>
      </w:r>
      <w:r>
        <w:rPr>
          <w:sz w:val="22"/>
          <w:szCs w:val="22"/>
        </w:rPr>
        <w:t xml:space="preserve">.2-1 gives </w:t>
      </w:r>
      <w:r>
        <w:rPr>
          <w:rFonts w:hint="eastAsia"/>
          <w:sz w:val="22"/>
          <w:szCs w:val="22"/>
        </w:rPr>
        <w:t xml:space="preserve">an indication of the required operation time of the 5G enabled IoT device and duty cycle </w:t>
      </w:r>
      <w:r>
        <w:rPr>
          <w:sz w:val="22"/>
          <w:szCs w:val="22"/>
        </w:rPr>
        <w:t>of</w:t>
      </w:r>
      <w:r>
        <w:rPr>
          <w:rFonts w:hint="eastAsia"/>
          <w:sz w:val="22"/>
          <w:szCs w:val="22"/>
        </w:rPr>
        <w:t xml:space="preserve"> the updated position information for </w:t>
      </w:r>
      <w:r>
        <w:rPr>
          <w:sz w:val="22"/>
          <w:szCs w:val="22"/>
        </w:rPr>
        <w:t xml:space="preserve">different </w:t>
      </w:r>
      <w:r>
        <w:rPr>
          <w:rFonts w:hint="eastAsia"/>
          <w:sz w:val="22"/>
          <w:szCs w:val="22"/>
        </w:rPr>
        <w:t>use cases</w:t>
      </w:r>
      <w:r>
        <w:rPr>
          <w:sz w:val="22"/>
          <w:szCs w:val="22"/>
        </w:rPr>
        <w:t>.</w:t>
      </w:r>
    </w:p>
    <w:p>
      <w:pPr>
        <w:pStyle w:val="51"/>
        <w:rPr>
          <w:rFonts w:eastAsia="宋体"/>
        </w:rPr>
      </w:pPr>
      <w:r>
        <w:rPr>
          <w:rFonts w:eastAsia="宋体"/>
        </w:rPr>
        <w:t xml:space="preserve">Table </w:t>
      </w:r>
      <w:r>
        <w:rPr>
          <w:rFonts w:hint="eastAsia" w:eastAsia="宋体"/>
          <w:lang w:val="en-US" w:eastAsia="zh-CN"/>
        </w:rPr>
        <w:t>2</w:t>
      </w:r>
      <w:r>
        <w:rPr>
          <w:rFonts w:eastAsia="宋体"/>
        </w:rPr>
        <w:t xml:space="preserve">.2-1: Low power high </w:t>
      </w:r>
      <w:r>
        <w:t>accuracy</w:t>
      </w:r>
      <w:r>
        <w:rPr>
          <w:rFonts w:hint="eastAsia"/>
        </w:rPr>
        <w:t xml:space="preserve"> </w:t>
      </w:r>
      <w:r>
        <w:rPr>
          <w:rFonts w:eastAsia="宋体"/>
        </w:rPr>
        <w:t>positioning use cases</w:t>
      </w:r>
    </w:p>
    <w:tbl>
      <w:tblPr>
        <w:tblStyle w:val="2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48"/>
        <w:gridCol w:w="1228"/>
        <w:gridCol w:w="1497"/>
        <w:gridCol w:w="2058"/>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42" w:hRule="atLeast"/>
          <w:jc w:val="center"/>
        </w:trPr>
        <w:tc>
          <w:tcPr>
            <w:tcW w:w="1348" w:type="dxa"/>
            <w:noWrap w:val="0"/>
            <w:vAlign w:val="top"/>
          </w:tcPr>
          <w:p>
            <w:pPr>
              <w:pStyle w:val="42"/>
              <w:rPr>
                <w:lang w:eastAsia="zh-CN"/>
              </w:rPr>
            </w:pPr>
            <w:r>
              <w:t>Use</w:t>
            </w:r>
            <w:r>
              <w:rPr>
                <w:lang w:eastAsia="zh-CN"/>
              </w:rPr>
              <w:t xml:space="preserve"> Case #</w:t>
            </w:r>
          </w:p>
        </w:tc>
        <w:tc>
          <w:tcPr>
            <w:tcW w:w="1228" w:type="dxa"/>
            <w:noWrap w:val="0"/>
            <w:vAlign w:val="top"/>
          </w:tcPr>
          <w:p>
            <w:pPr>
              <w:pStyle w:val="42"/>
            </w:pPr>
            <w:r>
              <w:t>Horizontal accuracy</w:t>
            </w:r>
          </w:p>
        </w:tc>
        <w:tc>
          <w:tcPr>
            <w:tcW w:w="1497" w:type="dxa"/>
            <w:noWrap w:val="0"/>
            <w:vAlign w:val="top"/>
          </w:tcPr>
          <w:p>
            <w:pPr>
              <w:pStyle w:val="42"/>
            </w:pPr>
            <w:r>
              <w:t>Corresponding service level (22.261)</w:t>
            </w:r>
          </w:p>
        </w:tc>
        <w:tc>
          <w:tcPr>
            <w:tcW w:w="2058" w:type="dxa"/>
            <w:noWrap w:val="0"/>
            <w:vAlign w:val="top"/>
          </w:tcPr>
          <w:p>
            <w:pPr>
              <w:pStyle w:val="42"/>
              <w:rPr>
                <w:rFonts w:hint="default" w:eastAsia="宋体"/>
                <w:lang w:val="en-US" w:eastAsia="zh-CN"/>
              </w:rPr>
            </w:pPr>
            <w:r>
              <w:t>Positioning interval/ duty cycle</w:t>
            </w:r>
          </w:p>
        </w:tc>
        <w:tc>
          <w:tcPr>
            <w:tcW w:w="3187" w:type="dxa"/>
            <w:noWrap w:val="0"/>
            <w:vAlign w:val="top"/>
          </w:tcPr>
          <w:p>
            <w:pPr>
              <w:pStyle w:val="42"/>
            </w:pPr>
            <w:r>
              <w:t>battery life time/ minimum operation time</w:t>
            </w:r>
          </w:p>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pStyle w:val="43"/>
              <w:jc w:val="left"/>
              <w:rPr>
                <w:rFonts w:eastAsia="宋体"/>
              </w:rPr>
            </w:pPr>
            <w:r>
              <w:rPr>
                <w:rFonts w:eastAsia="宋体"/>
              </w:rPr>
              <w:t>1</w:t>
            </w:r>
          </w:p>
        </w:tc>
        <w:tc>
          <w:tcPr>
            <w:tcW w:w="1228" w:type="dxa"/>
            <w:noWrap w:val="0"/>
            <w:vAlign w:val="top"/>
          </w:tcPr>
          <w:p>
            <w:pPr>
              <w:spacing w:after="0"/>
              <w:rPr>
                <w:rFonts w:ascii="Arial" w:hAnsi="Arial" w:eastAsia="宋体"/>
                <w:sz w:val="18"/>
              </w:rPr>
            </w:pPr>
            <w:r>
              <w:rPr>
                <w:rFonts w:ascii="Arial" w:hAnsi="Arial" w:eastAsia="宋体"/>
                <w:sz w:val="18"/>
              </w:rPr>
              <w:t>10 m</w:t>
            </w:r>
          </w:p>
        </w:tc>
        <w:tc>
          <w:tcPr>
            <w:tcW w:w="1497" w:type="dxa"/>
            <w:noWrap w:val="0"/>
            <w:vAlign w:val="top"/>
          </w:tcPr>
          <w:p>
            <w:pPr>
              <w:spacing w:after="0"/>
              <w:rPr>
                <w:rFonts w:ascii="Arial" w:hAnsi="Arial" w:eastAsia="宋体"/>
                <w:sz w:val="18"/>
              </w:rPr>
            </w:pPr>
            <w:r>
              <w:rPr>
                <w:rFonts w:ascii="Arial" w:hAnsi="Arial" w:eastAsia="宋体"/>
                <w:sz w:val="18"/>
              </w:rPr>
              <w:t>Service Level 1</w:t>
            </w:r>
          </w:p>
        </w:tc>
        <w:tc>
          <w:tcPr>
            <w:tcW w:w="2058" w:type="dxa"/>
            <w:noWrap w:val="0"/>
            <w:vAlign w:val="top"/>
          </w:tcPr>
          <w:p>
            <w:pPr>
              <w:spacing w:after="0"/>
              <w:rPr>
                <w:rFonts w:ascii="Arial" w:hAnsi="Arial" w:eastAsia="宋体"/>
                <w:sz w:val="18"/>
              </w:rPr>
            </w:pPr>
            <w:r>
              <w:rPr>
                <w:rFonts w:ascii="Arial" w:hAnsi="Arial" w:eastAsia="宋体"/>
                <w:sz w:val="18"/>
              </w:rPr>
              <w:t>on request</w:t>
            </w:r>
          </w:p>
        </w:tc>
        <w:tc>
          <w:tcPr>
            <w:tcW w:w="3187" w:type="dxa"/>
            <w:noWrap w:val="0"/>
            <w:vAlign w:val="top"/>
          </w:tcPr>
          <w:p>
            <w:pPr>
              <w:spacing w:after="0"/>
              <w:rPr>
                <w:rFonts w:ascii="Arial" w:hAnsi="Arial" w:eastAsia="宋体"/>
                <w:sz w:val="18"/>
              </w:rPr>
            </w:pPr>
            <w:r>
              <w:rPr>
                <w:rFonts w:ascii="Arial" w:hAnsi="Arial" w:eastAsia="宋体"/>
                <w:sz w:val="18"/>
              </w:rPr>
              <w:t>24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spacing w:after="0"/>
              <w:rPr>
                <w:rFonts w:ascii="Arial" w:hAnsi="Arial" w:eastAsia="宋体"/>
                <w:sz w:val="18"/>
              </w:rPr>
            </w:pPr>
            <w:r>
              <w:rPr>
                <w:rFonts w:ascii="Arial" w:hAnsi="Arial" w:eastAsia="宋体"/>
                <w:sz w:val="18"/>
              </w:rPr>
              <w:t>2</w:t>
            </w:r>
          </w:p>
        </w:tc>
        <w:tc>
          <w:tcPr>
            <w:tcW w:w="1228" w:type="dxa"/>
            <w:noWrap w:val="0"/>
            <w:vAlign w:val="top"/>
          </w:tcPr>
          <w:p>
            <w:pPr>
              <w:spacing w:after="0"/>
              <w:rPr>
                <w:rFonts w:ascii="Arial" w:hAnsi="Arial" w:eastAsia="宋体"/>
                <w:sz w:val="18"/>
              </w:rPr>
            </w:pPr>
            <w:r>
              <w:rPr>
                <w:rFonts w:ascii="Arial" w:hAnsi="Arial" w:eastAsia="宋体"/>
                <w:sz w:val="18"/>
              </w:rPr>
              <w:t>2 m to 3 m</w:t>
            </w:r>
          </w:p>
        </w:tc>
        <w:tc>
          <w:tcPr>
            <w:tcW w:w="1497" w:type="dxa"/>
            <w:noWrap w:val="0"/>
            <w:vAlign w:val="top"/>
          </w:tcPr>
          <w:p>
            <w:pPr>
              <w:spacing w:after="0"/>
              <w:rPr>
                <w:rFonts w:ascii="Arial" w:hAnsi="Arial" w:eastAsia="宋体"/>
                <w:sz w:val="18"/>
              </w:rPr>
            </w:pPr>
            <w:r>
              <w:rPr>
                <w:rFonts w:ascii="Arial" w:hAnsi="Arial" w:eastAsia="宋体"/>
                <w:sz w:val="18"/>
              </w:rPr>
              <w:t>Service Level 2</w:t>
            </w:r>
          </w:p>
        </w:tc>
        <w:tc>
          <w:tcPr>
            <w:tcW w:w="2058" w:type="dxa"/>
            <w:noWrap w:val="0"/>
            <w:vAlign w:val="top"/>
          </w:tcPr>
          <w:p>
            <w:pPr>
              <w:spacing w:after="0"/>
              <w:rPr>
                <w:rFonts w:ascii="Arial" w:hAnsi="Arial" w:eastAsia="宋体"/>
                <w:sz w:val="18"/>
              </w:rPr>
            </w:pPr>
            <w:r>
              <w:rPr>
                <w:rFonts w:ascii="Arial" w:hAnsi="Arial" w:eastAsia="宋体"/>
                <w:sz w:val="18"/>
              </w:rPr>
              <w:t>&lt; 4 seconds</w:t>
            </w:r>
          </w:p>
        </w:tc>
        <w:tc>
          <w:tcPr>
            <w:tcW w:w="3187" w:type="dxa"/>
            <w:noWrap w:val="0"/>
            <w:vAlign w:val="top"/>
          </w:tcPr>
          <w:p>
            <w:pPr>
              <w:spacing w:after="0"/>
              <w:rPr>
                <w:rFonts w:ascii="Arial" w:hAnsi="Arial" w:eastAsia="宋体"/>
                <w:sz w:val="18"/>
              </w:rPr>
            </w:pPr>
            <w:r>
              <w:rPr>
                <w:rFonts w:ascii="Arial" w:hAnsi="Arial" w:eastAsia="宋体"/>
                <w:sz w:val="18"/>
              </w:rPr>
              <w:t>&gt; 6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spacing w:after="0"/>
              <w:rPr>
                <w:rFonts w:ascii="Arial" w:hAnsi="Arial" w:eastAsia="宋体"/>
                <w:sz w:val="18"/>
              </w:rPr>
            </w:pPr>
            <w:r>
              <w:rPr>
                <w:rFonts w:ascii="Arial" w:hAnsi="Arial" w:eastAsia="宋体"/>
                <w:sz w:val="18"/>
              </w:rPr>
              <w:t>3</w:t>
            </w:r>
          </w:p>
        </w:tc>
        <w:tc>
          <w:tcPr>
            <w:tcW w:w="1228" w:type="dxa"/>
            <w:noWrap w:val="0"/>
            <w:vAlign w:val="top"/>
          </w:tcPr>
          <w:p>
            <w:pPr>
              <w:spacing w:after="0"/>
              <w:rPr>
                <w:rFonts w:ascii="Arial" w:hAnsi="Arial" w:eastAsia="宋体"/>
                <w:sz w:val="18"/>
              </w:rPr>
            </w:pPr>
            <w:r>
              <w:rPr>
                <w:rFonts w:ascii="Arial" w:hAnsi="Arial" w:eastAsia="宋体"/>
                <w:sz w:val="18"/>
              </w:rPr>
              <w:t>&lt; 1 m</w:t>
            </w:r>
          </w:p>
        </w:tc>
        <w:tc>
          <w:tcPr>
            <w:tcW w:w="1497" w:type="dxa"/>
            <w:noWrap w:val="0"/>
            <w:vAlign w:val="top"/>
          </w:tcPr>
          <w:p>
            <w:pPr>
              <w:spacing w:after="0"/>
              <w:rPr>
                <w:rFonts w:ascii="Arial" w:hAnsi="Arial" w:eastAsia="宋体"/>
                <w:sz w:val="18"/>
              </w:rPr>
            </w:pPr>
            <w:r>
              <w:rPr>
                <w:rFonts w:ascii="Arial" w:hAnsi="Arial" w:eastAsia="宋体"/>
                <w:sz w:val="18"/>
              </w:rPr>
              <w:t>Service Level 3</w:t>
            </w:r>
          </w:p>
        </w:tc>
        <w:tc>
          <w:tcPr>
            <w:tcW w:w="2058" w:type="dxa"/>
            <w:noWrap w:val="0"/>
            <w:vAlign w:val="top"/>
          </w:tcPr>
          <w:p>
            <w:pPr>
              <w:spacing w:after="0"/>
              <w:rPr>
                <w:rFonts w:ascii="Arial" w:hAnsi="Arial" w:eastAsia="宋体"/>
                <w:sz w:val="18"/>
              </w:rPr>
            </w:pPr>
            <w:r>
              <w:rPr>
                <w:rFonts w:ascii="Arial" w:hAnsi="Arial" w:eastAsia="宋体"/>
                <w:sz w:val="18"/>
              </w:rPr>
              <w:t>no indication</w:t>
            </w:r>
          </w:p>
        </w:tc>
        <w:tc>
          <w:tcPr>
            <w:tcW w:w="3187" w:type="dxa"/>
            <w:noWrap w:val="0"/>
            <w:vAlign w:val="top"/>
          </w:tcPr>
          <w:p>
            <w:pPr>
              <w:spacing w:after="0"/>
              <w:rPr>
                <w:rFonts w:ascii="Arial" w:hAnsi="Arial" w:eastAsia="宋体"/>
                <w:sz w:val="18"/>
              </w:rPr>
            </w:pPr>
            <w:r>
              <w:rPr>
                <w:rFonts w:ascii="Arial" w:hAnsi="Arial" w:eastAsia="宋体"/>
                <w:sz w:val="18"/>
              </w:rPr>
              <w:t>1 work shift - 8 hours (up to 3 days, 1 month for inventory purposes)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pStyle w:val="43"/>
              <w:jc w:val="left"/>
              <w:rPr>
                <w:rFonts w:eastAsia="宋体"/>
              </w:rPr>
            </w:pPr>
            <w:r>
              <w:rPr>
                <w:rFonts w:eastAsia="宋体"/>
              </w:rPr>
              <w:t>4</w:t>
            </w:r>
          </w:p>
        </w:tc>
        <w:tc>
          <w:tcPr>
            <w:tcW w:w="1228" w:type="dxa"/>
            <w:noWrap w:val="0"/>
            <w:vAlign w:val="top"/>
          </w:tcPr>
          <w:p>
            <w:pPr>
              <w:pStyle w:val="43"/>
              <w:jc w:val="left"/>
              <w:rPr>
                <w:rFonts w:eastAsia="宋体"/>
              </w:rPr>
            </w:pPr>
            <w:r>
              <w:rPr>
                <w:rFonts w:eastAsia="宋体"/>
              </w:rPr>
              <w:t>&lt; 1 m</w:t>
            </w:r>
          </w:p>
        </w:tc>
        <w:tc>
          <w:tcPr>
            <w:tcW w:w="1497" w:type="dxa"/>
            <w:noWrap w:val="0"/>
            <w:vAlign w:val="top"/>
          </w:tcPr>
          <w:p>
            <w:pPr>
              <w:pStyle w:val="43"/>
              <w:jc w:val="left"/>
              <w:rPr>
                <w:rFonts w:eastAsia="宋体"/>
              </w:rPr>
            </w:pPr>
            <w:r>
              <w:rPr>
                <w:rFonts w:eastAsia="宋体"/>
              </w:rPr>
              <w:t>Service Level 3</w:t>
            </w:r>
          </w:p>
        </w:tc>
        <w:tc>
          <w:tcPr>
            <w:tcW w:w="2058" w:type="dxa"/>
            <w:noWrap w:val="0"/>
            <w:vAlign w:val="top"/>
          </w:tcPr>
          <w:p>
            <w:pPr>
              <w:pStyle w:val="43"/>
              <w:jc w:val="left"/>
              <w:rPr>
                <w:rFonts w:eastAsia="宋体"/>
              </w:rPr>
            </w:pPr>
            <w:r>
              <w:rPr>
                <w:rFonts w:eastAsia="宋体"/>
              </w:rPr>
              <w:t>1 second</w:t>
            </w:r>
          </w:p>
        </w:tc>
        <w:tc>
          <w:tcPr>
            <w:tcW w:w="3187" w:type="dxa"/>
            <w:noWrap w:val="0"/>
            <w:vAlign w:val="top"/>
          </w:tcPr>
          <w:p>
            <w:pPr>
              <w:pStyle w:val="43"/>
              <w:jc w:val="left"/>
              <w:rPr>
                <w:rFonts w:eastAsia="宋体"/>
              </w:rPr>
            </w:pPr>
            <w:r>
              <w:rPr>
                <w:rFonts w:eastAsia="宋体"/>
              </w:rPr>
              <w:t>6 - 8 years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5</w:t>
            </w:r>
          </w:p>
        </w:tc>
        <w:tc>
          <w:tcPr>
            <w:tcW w:w="1228" w:type="dxa"/>
            <w:noWrap w:val="0"/>
            <w:vAlign w:val="top"/>
          </w:tcPr>
          <w:p>
            <w:pPr>
              <w:pStyle w:val="43"/>
              <w:jc w:val="left"/>
              <w:rPr>
                <w:rFonts w:eastAsia="宋体"/>
              </w:rPr>
            </w:pPr>
            <w:r>
              <w:rPr>
                <w:rFonts w:eastAsia="宋体"/>
              </w:rPr>
              <w:t>&lt; 1 m</w:t>
            </w:r>
          </w:p>
        </w:tc>
        <w:tc>
          <w:tcPr>
            <w:tcW w:w="1497" w:type="dxa"/>
            <w:noWrap w:val="0"/>
            <w:vAlign w:val="top"/>
          </w:tcPr>
          <w:p>
            <w:pPr>
              <w:pStyle w:val="43"/>
              <w:jc w:val="left"/>
              <w:rPr>
                <w:rFonts w:eastAsia="宋体"/>
              </w:rPr>
            </w:pPr>
            <w:r>
              <w:rPr>
                <w:rFonts w:eastAsia="宋体"/>
              </w:rPr>
              <w:t>Service Level 3</w:t>
            </w:r>
          </w:p>
        </w:tc>
        <w:tc>
          <w:tcPr>
            <w:tcW w:w="2058" w:type="dxa"/>
            <w:noWrap w:val="0"/>
            <w:vAlign w:val="top"/>
          </w:tcPr>
          <w:p>
            <w:pPr>
              <w:pStyle w:val="43"/>
              <w:jc w:val="left"/>
              <w:rPr>
                <w:rFonts w:eastAsia="宋体"/>
              </w:rPr>
            </w:pPr>
            <w:r>
              <w:rPr>
                <w:rFonts w:eastAsia="宋体"/>
              </w:rPr>
              <w:t>5 seconds - 15 minutes</w:t>
            </w:r>
          </w:p>
        </w:tc>
        <w:tc>
          <w:tcPr>
            <w:tcW w:w="3187" w:type="dxa"/>
            <w:noWrap w:val="0"/>
            <w:vAlign w:val="top"/>
          </w:tcPr>
          <w:p>
            <w:pPr>
              <w:pStyle w:val="43"/>
              <w:jc w:val="left"/>
              <w:rPr>
                <w:rFonts w:eastAsia="宋体"/>
              </w:rPr>
            </w:pPr>
            <w:r>
              <w:rPr>
                <w:rFonts w:eastAsia="宋体"/>
              </w:rPr>
              <w:t>18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color w:val="0000FF"/>
              </w:rPr>
            </w:pPr>
            <w:r>
              <w:rPr>
                <w:rFonts w:eastAsia="宋体"/>
                <w:color w:val="0000FF"/>
              </w:rPr>
              <w:t>6</w:t>
            </w:r>
          </w:p>
        </w:tc>
        <w:tc>
          <w:tcPr>
            <w:tcW w:w="1228" w:type="dxa"/>
            <w:noWrap w:val="0"/>
            <w:vAlign w:val="top"/>
          </w:tcPr>
          <w:p>
            <w:pPr>
              <w:pStyle w:val="43"/>
              <w:jc w:val="left"/>
              <w:rPr>
                <w:rFonts w:eastAsia="宋体"/>
                <w:color w:val="0000FF"/>
              </w:rPr>
            </w:pPr>
            <w:r>
              <w:rPr>
                <w:rFonts w:eastAsia="宋体"/>
                <w:color w:val="0000FF"/>
              </w:rPr>
              <w:t>&lt; 1 m</w:t>
            </w:r>
          </w:p>
        </w:tc>
        <w:tc>
          <w:tcPr>
            <w:tcW w:w="1497" w:type="dxa"/>
            <w:noWrap w:val="0"/>
            <w:vAlign w:val="top"/>
          </w:tcPr>
          <w:p>
            <w:pPr>
              <w:pStyle w:val="43"/>
              <w:jc w:val="left"/>
              <w:rPr>
                <w:rFonts w:eastAsia="宋体"/>
                <w:color w:val="0000FF"/>
              </w:rPr>
            </w:pPr>
            <w:r>
              <w:rPr>
                <w:rFonts w:eastAsia="宋体"/>
                <w:color w:val="0000FF"/>
              </w:rPr>
              <w:t>Service Level 3</w:t>
            </w:r>
          </w:p>
        </w:tc>
        <w:tc>
          <w:tcPr>
            <w:tcW w:w="2058" w:type="dxa"/>
            <w:noWrap w:val="0"/>
            <w:vAlign w:val="top"/>
          </w:tcPr>
          <w:p>
            <w:pPr>
              <w:pStyle w:val="43"/>
              <w:jc w:val="left"/>
              <w:rPr>
                <w:rFonts w:eastAsia="宋体"/>
                <w:color w:val="0000FF"/>
              </w:rPr>
            </w:pPr>
            <w:r>
              <w:rPr>
                <w:rFonts w:eastAsia="宋体"/>
                <w:color w:val="0000FF"/>
              </w:rPr>
              <w:t>15 s to 30 s</w:t>
            </w:r>
          </w:p>
        </w:tc>
        <w:tc>
          <w:tcPr>
            <w:tcW w:w="3187" w:type="dxa"/>
            <w:noWrap w:val="0"/>
            <w:vAlign w:val="top"/>
          </w:tcPr>
          <w:p>
            <w:pPr>
              <w:pStyle w:val="43"/>
              <w:jc w:val="left"/>
              <w:rPr>
                <w:rFonts w:eastAsia="宋体"/>
                <w:color w:val="0000FF"/>
              </w:rPr>
            </w:pPr>
            <w:r>
              <w:rPr>
                <w:rFonts w:eastAsia="宋体"/>
                <w:color w:val="0000FF"/>
              </w:rPr>
              <w:t xml:space="preserve">6 - 12 months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7</w:t>
            </w:r>
          </w:p>
        </w:tc>
        <w:tc>
          <w:tcPr>
            <w:tcW w:w="1228" w:type="dxa"/>
            <w:noWrap w:val="0"/>
            <w:vAlign w:val="top"/>
          </w:tcPr>
          <w:p>
            <w:pPr>
              <w:pStyle w:val="43"/>
              <w:jc w:val="left"/>
              <w:rPr>
                <w:rFonts w:eastAsia="宋体"/>
              </w:rPr>
            </w:pPr>
            <w:r>
              <w:rPr>
                <w:rFonts w:eastAsia="宋体"/>
              </w:rPr>
              <w:t>30 cm</w:t>
            </w:r>
          </w:p>
        </w:tc>
        <w:tc>
          <w:tcPr>
            <w:tcW w:w="1497" w:type="dxa"/>
            <w:noWrap w:val="0"/>
            <w:vAlign w:val="top"/>
          </w:tcPr>
          <w:p>
            <w:pPr>
              <w:pStyle w:val="43"/>
              <w:jc w:val="left"/>
              <w:rPr>
                <w:rFonts w:eastAsia="宋体"/>
              </w:rPr>
            </w:pPr>
            <w:r>
              <w:rPr>
                <w:rFonts w:eastAsia="宋体"/>
              </w:rPr>
              <w:t>Service Level 5</w:t>
            </w:r>
          </w:p>
        </w:tc>
        <w:tc>
          <w:tcPr>
            <w:tcW w:w="2058" w:type="dxa"/>
            <w:noWrap w:val="0"/>
            <w:vAlign w:val="top"/>
          </w:tcPr>
          <w:p>
            <w:pPr>
              <w:pStyle w:val="43"/>
              <w:jc w:val="left"/>
              <w:rPr>
                <w:rFonts w:eastAsia="宋体"/>
              </w:rPr>
            </w:pPr>
            <w:r>
              <w:rPr>
                <w:rFonts w:eastAsia="宋体"/>
              </w:rPr>
              <w:t>250 ms</w:t>
            </w:r>
          </w:p>
        </w:tc>
        <w:tc>
          <w:tcPr>
            <w:tcW w:w="3187" w:type="dxa"/>
            <w:noWrap w:val="0"/>
            <w:vAlign w:val="top"/>
          </w:tcPr>
          <w:p>
            <w:pPr>
              <w:pStyle w:val="43"/>
              <w:jc w:val="left"/>
              <w:rPr>
                <w:rFonts w:eastAsia="宋体"/>
              </w:rPr>
            </w:pPr>
            <w:r>
              <w:rPr>
                <w:rFonts w:eastAsia="宋体"/>
              </w:rPr>
              <w:t>18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8</w:t>
            </w:r>
          </w:p>
        </w:tc>
        <w:tc>
          <w:tcPr>
            <w:tcW w:w="1228" w:type="dxa"/>
            <w:noWrap w:val="0"/>
            <w:vAlign w:val="top"/>
          </w:tcPr>
          <w:p>
            <w:pPr>
              <w:pStyle w:val="43"/>
              <w:jc w:val="left"/>
              <w:rPr>
                <w:rFonts w:eastAsia="宋体"/>
              </w:rPr>
            </w:pPr>
            <w:r>
              <w:rPr>
                <w:rFonts w:eastAsia="宋体"/>
              </w:rPr>
              <w:t>30 cm</w:t>
            </w:r>
          </w:p>
        </w:tc>
        <w:tc>
          <w:tcPr>
            <w:tcW w:w="1497" w:type="dxa"/>
            <w:noWrap w:val="0"/>
            <w:vAlign w:val="top"/>
          </w:tcPr>
          <w:p>
            <w:pPr>
              <w:pStyle w:val="43"/>
              <w:jc w:val="left"/>
              <w:rPr>
                <w:rFonts w:eastAsia="宋体"/>
              </w:rPr>
            </w:pPr>
            <w:r>
              <w:rPr>
                <w:rFonts w:eastAsia="宋体"/>
              </w:rPr>
              <w:t>Service Level 5</w:t>
            </w:r>
          </w:p>
        </w:tc>
        <w:tc>
          <w:tcPr>
            <w:tcW w:w="2058" w:type="dxa"/>
            <w:noWrap w:val="0"/>
            <w:vAlign w:val="top"/>
          </w:tcPr>
          <w:p>
            <w:pPr>
              <w:pStyle w:val="43"/>
              <w:jc w:val="left"/>
              <w:rPr>
                <w:rFonts w:eastAsia="宋体"/>
              </w:rPr>
            </w:pPr>
            <w:r>
              <w:rPr>
                <w:rFonts w:eastAsia="宋体"/>
              </w:rPr>
              <w:t>1 second</w:t>
            </w:r>
          </w:p>
        </w:tc>
        <w:tc>
          <w:tcPr>
            <w:tcW w:w="3187" w:type="dxa"/>
            <w:noWrap w:val="0"/>
            <w:vAlign w:val="top"/>
          </w:tcPr>
          <w:p>
            <w:pPr>
              <w:pStyle w:val="43"/>
              <w:jc w:val="left"/>
              <w:rPr>
                <w:rFonts w:eastAsia="宋体"/>
              </w:rPr>
            </w:pPr>
            <w:r>
              <w:rPr>
                <w:rFonts w:eastAsia="宋体"/>
              </w:rPr>
              <w:t>6 - 8 years (no strong limitation in battery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9</w:t>
            </w:r>
          </w:p>
        </w:tc>
        <w:tc>
          <w:tcPr>
            <w:tcW w:w="1228" w:type="dxa"/>
            <w:noWrap w:val="0"/>
            <w:vAlign w:val="top"/>
          </w:tcPr>
          <w:p>
            <w:pPr>
              <w:pStyle w:val="43"/>
              <w:jc w:val="left"/>
              <w:rPr>
                <w:rFonts w:eastAsia="宋体"/>
              </w:rPr>
            </w:pPr>
            <w:r>
              <w:rPr>
                <w:rFonts w:eastAsia="宋体"/>
              </w:rPr>
              <w:t>10 m</w:t>
            </w:r>
          </w:p>
        </w:tc>
        <w:tc>
          <w:tcPr>
            <w:tcW w:w="1497" w:type="dxa"/>
            <w:noWrap w:val="0"/>
            <w:vAlign w:val="top"/>
          </w:tcPr>
          <w:p>
            <w:pPr>
              <w:pStyle w:val="43"/>
              <w:jc w:val="left"/>
              <w:rPr>
                <w:rFonts w:eastAsia="宋体"/>
              </w:rPr>
            </w:pPr>
            <w:r>
              <w:rPr>
                <w:rFonts w:eastAsia="宋体"/>
              </w:rPr>
              <w:t>Service Level 1</w:t>
            </w:r>
          </w:p>
        </w:tc>
        <w:tc>
          <w:tcPr>
            <w:tcW w:w="2058" w:type="dxa"/>
            <w:noWrap w:val="0"/>
            <w:vAlign w:val="top"/>
          </w:tcPr>
          <w:p>
            <w:pPr>
              <w:pStyle w:val="43"/>
              <w:jc w:val="left"/>
              <w:rPr>
                <w:rFonts w:eastAsia="宋体"/>
              </w:rPr>
            </w:pPr>
            <w:r>
              <w:rPr>
                <w:rFonts w:eastAsia="宋体"/>
              </w:rPr>
              <w:t>20 minutes</w:t>
            </w:r>
          </w:p>
        </w:tc>
        <w:tc>
          <w:tcPr>
            <w:tcW w:w="3187" w:type="dxa"/>
            <w:noWrap w:val="0"/>
            <w:vAlign w:val="top"/>
          </w:tcPr>
          <w:p>
            <w:pPr>
              <w:pStyle w:val="43"/>
              <w:jc w:val="left"/>
              <w:rPr>
                <w:rFonts w:eastAsia="宋体"/>
              </w:rPr>
            </w:pPr>
            <w:r>
              <w:rPr>
                <w:rFonts w:eastAsia="宋体"/>
              </w:rPr>
              <w:t>12 years (@20mJ/position fix)</w:t>
            </w:r>
          </w:p>
        </w:tc>
      </w:tr>
    </w:tbl>
    <w:p>
      <w:pPr>
        <w:keepNext/>
        <w:rPr>
          <w:color w:val="0000FF"/>
          <w:sz w:val="22"/>
          <w:szCs w:val="22"/>
          <w:lang w:eastAsia="zh-CN"/>
        </w:rPr>
      </w:pPr>
      <w:r>
        <w:rPr>
          <w:i/>
          <w:color w:val="0000FF"/>
          <w:sz w:val="22"/>
          <w:szCs w:val="22"/>
        </w:rPr>
        <w:t>Use case six</w:t>
      </w:r>
      <w:r>
        <w:rPr>
          <w:rFonts w:hint="eastAsia" w:eastAsia="宋体"/>
          <w:i/>
          <w:color w:val="0000FF"/>
          <w:sz w:val="22"/>
          <w:szCs w:val="22"/>
          <w:lang w:eastAsia="zh-CN"/>
        </w:rPr>
        <w:t>：</w:t>
      </w:r>
      <w:r>
        <w:rPr>
          <w:color w:val="0000FF"/>
          <w:sz w:val="22"/>
          <w:szCs w:val="22"/>
          <w:lang w:eastAsia="zh-CN"/>
        </w:rPr>
        <w:t>Flexible modulare assembly area: Tracking of workpiece (in- and outdoor) in assembly area and warehouse.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 xml:space="preserve"> From RAN4 perspective, we focus on the requirements on LPHAP especially the measurement period in Inactive state, and based on the RAN1outcome as below, we deem that we shall take a kind of scaling factor of the eDRX into account in the new measurement period.</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lang w:val="en-US" w:eastAsia="zh-CN"/>
        </w:rPr>
      </w:pPr>
      <w:r>
        <w:rPr>
          <w:rFonts w:ascii="Times New Roman" w:hAnsi="Times New Roman"/>
          <w:b/>
          <w:bCs/>
          <w:sz w:val="20"/>
          <w:szCs w:val="20"/>
        </w:rPr>
        <w:drawing>
          <wp:inline distT="0" distB="0" distL="114300" distR="114300">
            <wp:extent cx="5107940" cy="2058670"/>
            <wp:effectExtent l="0" t="0" r="0" b="0"/>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6"/>
                    <a:stretch>
                      <a:fillRect/>
                    </a:stretch>
                  </pic:blipFill>
                  <pic:spPr>
                    <a:xfrm>
                      <a:off x="0" y="0"/>
                      <a:ext cx="5107940" cy="2058670"/>
                    </a:xfrm>
                    <a:prstGeom prst="rect">
                      <a:avLst/>
                    </a:prstGeom>
                  </pic:spPr>
                </pic:pic>
              </a:graphicData>
            </a:graphic>
          </wp:inline>
        </w:drawing>
      </w:r>
    </w:p>
    <w:p>
      <w:pPr>
        <w:jc w:val="center"/>
        <w:outlineLvl w:val="1"/>
        <w:rPr>
          <w:rFonts w:hint="default" w:eastAsia="宋体"/>
          <w:lang w:val="en-US" w:eastAsia="zh-CN"/>
        </w:rPr>
      </w:pPr>
      <w:r>
        <w:rPr>
          <w:rFonts w:hint="eastAsia" w:eastAsia="宋体"/>
          <w:lang w:val="en-US" w:eastAsia="zh-CN"/>
        </w:rPr>
        <w:t>Figure 1  eDRX cycle and PTW</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eastAsia="宋体"/>
          <w:sz w:val="22"/>
          <w:szCs w:val="22"/>
          <w:lang w:val="en-US" w:eastAsia="zh-CN"/>
        </w:rPr>
        <w:t xml:space="preserve">In figure 1, UE mainly receives the PRS, paging message and do the paging syn during the eDRX cycle. The total transition time of micro sleep(0-6ms), light sleep(6-20ms) and deep sleep(&gt;20ms) are different from each other. We call this PTW. </w:t>
      </w:r>
      <w:r>
        <w:rPr>
          <w:rFonts w:hint="eastAsia"/>
          <w:sz w:val="22"/>
          <w:szCs w:val="22"/>
          <w:lang w:val="en-US" w:eastAsia="zh-CN"/>
        </w:rPr>
        <w:t>The existing protocol has been supported in LPHAP for 10.24 seconds towards the eDRX cycle. In RAN1, the evaluation results also proved that the battery life will increase and the power compensation can be reduced when the eDRX cycle is larger than 10.24s, and the latest WID is enhanced on the basis of the existing cycle. So maybe the eDRX cycle which is larger than 10.24s shall be considered when we study the new measurement period on LPHAP in Inactive mode.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lang w:val="en-US" w:eastAsia="zh-CN"/>
        </w:rPr>
      </w:pPr>
      <w:r>
        <w:rPr>
          <w:rFonts w:hint="eastAsia"/>
          <w:b/>
          <w:bCs/>
          <w:lang w:val="en-US" w:eastAsia="zh-CN"/>
        </w:rPr>
        <w:t>Inactive mode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r>
              <w:rPr>
                <w:lang w:eastAsia="zh-CN"/>
              </w:rPr>
              <w:t xml:space="preserve">After receiving both </w:t>
            </w:r>
            <w:r>
              <w:t xml:space="preserve">NR-TDOA-ProvideAssistanceData message and NR-TDOA-RequestLocationInformation message from the LMF via LPP [34], the UE shall be able to measure multiple (up to the UE capability specified in Clause 5.6.2.3) DL RSTD measurements, defined in TS 38.215 [4], </w:t>
            </w:r>
            <w:r>
              <w:rPr>
                <w:lang w:eastAsia="zh-CN"/>
              </w:rPr>
              <w:t>during</w:t>
            </w:r>
            <w:r>
              <w:t xml:space="preserve"> the measurement period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RSTD,Total</m:t>
                  </m:r>
                  <m:ctrlPr>
                    <w:rPr>
                      <w:rFonts w:ascii="Cambria Math" w:hAnsi="Cambria Math"/>
                    </w:rPr>
                  </m:ctrlPr>
                </m:sub>
              </m:sSub>
            </m:oMath>
            <w:r>
              <w:t xml:space="preserve"> defined as:</w:t>
            </w:r>
          </w:p>
          <w:p>
            <w:pPr>
              <w:pStyle w:val="33"/>
            </w:pPr>
            <w:r>
              <w:tab/>
            </w:r>
            <m:oMath>
              <m:sSub>
                <m:sSubPr>
                  <m:ctrlPr>
                    <w:rPr>
                      <w:rFonts w:ascii="Cambria Math" w:hAnsi="Cambria Math"/>
                    </w:rPr>
                  </m:ctrlPr>
                </m:sSubPr>
                <m:e>
                  <m:r>
                    <m:rPr>
                      <m:sty m:val="p"/>
                    </m:rPr>
                    <w:rPr>
                      <w:rFonts w:hint="default" w:ascii="Cambria Math" w:hAnsi="Cambria Math"/>
                    </w:rPr>
                    <m:t>T</m:t>
                  </m:r>
                  <m:ctrlPr>
                    <w:rPr>
                      <w:rFonts w:ascii="Cambria Math" w:hAnsi="Cambria Math"/>
                    </w:rPr>
                  </m:ctrlPr>
                </m:e>
                <m:sub>
                  <m:r>
                    <m:rPr>
                      <m:sty m:val="p"/>
                    </m:rPr>
                    <w:rPr>
                      <w:rFonts w:hint="default" w:ascii="Cambria Math" w:hAnsi="Cambria Math"/>
                    </w:rPr>
                    <m:t>RSTD,Total</m:t>
                  </m:r>
                  <m:ctrlPr>
                    <w:rPr>
                      <w:rFonts w:ascii="Cambria Math" w:hAnsi="Cambria Math"/>
                    </w:rPr>
                  </m:ctrlPr>
                </m:sub>
              </m:sSub>
              <m:r>
                <m:rPr>
                  <m:sty m:val="p"/>
                </m:rPr>
                <w:rPr>
                  <w:rFonts w:ascii="Cambria Math" w:hAnsi="Cambria Math"/>
                </w:rPr>
                <m:t>=</m:t>
              </m:r>
              <m:nary>
                <m:naryPr>
                  <m:chr m:val="∑"/>
                  <m:limLoc m:val="undOvr"/>
                  <m:ctrlPr>
                    <w:rPr>
                      <w:rFonts w:ascii="Cambria Math" w:hAnsi="Cambria Math"/>
                    </w:rPr>
                  </m:ctrlPr>
                </m:naryPr>
                <m:sub>
                  <m:r>
                    <m:rPr>
                      <m:sty m:val="p"/>
                    </m:rPr>
                    <w:rPr>
                      <w:rFonts w:hint="default" w:ascii="Cambria Math" w:hAnsi="Cambria Math"/>
                    </w:rPr>
                    <m:t>i=1</m:t>
                  </m:r>
                  <m:ctrlPr>
                    <w:rPr>
                      <w:rFonts w:ascii="Cambria Math" w:hAnsi="Cambria Math"/>
                    </w:rPr>
                  </m:ctrlPr>
                </m:sub>
                <m:sup>
                  <m:r>
                    <m:rPr>
                      <m:sty m:val="p"/>
                    </m:rPr>
                    <w:rPr>
                      <w:rFonts w:hint="default" w:ascii="Cambria Math" w:hAnsi="Cambria Math"/>
                    </w:rPr>
                    <m:t>L</m:t>
                  </m:r>
                  <m:ctrlPr>
                    <w:rPr>
                      <w:rFonts w:ascii="Cambria Math" w:hAnsi="Cambria Math"/>
                    </w:rPr>
                  </m:ctrlPr>
                </m:sup>
                <m:e>
                  <m:sSub>
                    <m:sSubPr>
                      <m:ctrlPr>
                        <w:rPr>
                          <w:rFonts w:ascii="Cambria Math" w:hAnsi="Cambria Math"/>
                        </w:rPr>
                      </m:ctrlPr>
                    </m:sSubPr>
                    <m:e>
                      <m:r>
                        <m:rPr>
                          <m:sty m:val="p"/>
                        </m:rPr>
                        <w:rPr>
                          <w:rFonts w:hint="default" w:ascii="Cambria Math" w:hAnsi="Cambria Math"/>
                        </w:rPr>
                        <m:t>T</m:t>
                      </m:r>
                      <m:ctrlPr>
                        <w:rPr>
                          <w:rFonts w:ascii="Cambria Math" w:hAnsi="Cambria Math"/>
                        </w:rPr>
                      </m:ctrlPr>
                    </m:e>
                    <m:sub>
                      <m:r>
                        <m:rPr>
                          <m:sty m:val="p"/>
                        </m:rPr>
                        <w:rPr>
                          <w:rFonts w:hint="default" w:ascii="Cambria Math" w:hAnsi="Cambria Math"/>
                        </w:rPr>
                        <m:t>RSTD,i</m:t>
                      </m:r>
                      <m:ctrlPr>
                        <w:rPr>
                          <w:rFonts w:ascii="Cambria Math" w:hAnsi="Cambria Math"/>
                        </w:rPr>
                      </m:ctrlPr>
                    </m:sub>
                  </m:sSub>
                  <m:r>
                    <m:rPr>
                      <m:sty m:val="p"/>
                    </m:rPr>
                    <w:rPr>
                      <w:rFonts w:ascii="Cambria Math" w:hAnsi="Cambria Math"/>
                    </w:rPr>
                    <m:t xml:space="preserve">+ </m:t>
                  </m:r>
                  <m:d>
                    <m:dPr>
                      <m:ctrlPr>
                        <w:rPr>
                          <w:rFonts w:ascii="Cambria Math" w:hAnsi="Cambria Math"/>
                        </w:rPr>
                      </m:ctrlPr>
                    </m:dPr>
                    <m:e>
                      <m:r>
                        <m:rPr>
                          <m:sty m:val="p"/>
                        </m:rPr>
                        <w:rPr>
                          <w:rFonts w:hint="default" w:ascii="Cambria Math" w:hAnsi="Cambria Math"/>
                          <w:lang w:eastAsia="zh-CN"/>
                        </w:rPr>
                        <m:t>L−1</m:t>
                      </m:r>
                      <m:ctrlPr>
                        <w:rPr>
                          <w:rFonts w:ascii="Cambria Math" w:hAnsi="Cambria Math"/>
                        </w:rPr>
                      </m:ctrlPr>
                    </m:e>
                  </m:d>
                  <m:r>
                    <m:rPr>
                      <m:sty m:val="p"/>
                    </m:rPr>
                    <w:rPr>
                      <w:rFonts w:ascii="Cambria Math" w:hAnsi="Cambria Math"/>
                      <w:lang w:eastAsia="zh-CN"/>
                    </w:rPr>
                    <m:t>∗</m:t>
                  </m:r>
                  <m:func>
                    <m:funcPr>
                      <m:ctrlPr>
                        <w:rPr>
                          <w:rFonts w:ascii="Cambria Math" w:hAnsi="Cambria Math"/>
                        </w:rPr>
                      </m:ctrlPr>
                    </m:funcPr>
                    <m:fName>
                      <m:r>
                        <m:rPr>
                          <m:sty m:val="p"/>
                        </m:rPr>
                        <w:rPr>
                          <w:rFonts w:hint="default" w:ascii="Cambria Math" w:hAnsi="Cambria Math"/>
                          <w:lang w:eastAsia="zh-CN"/>
                        </w:rPr>
                        <m:t>max</m:t>
                      </m:r>
                      <m:ctrlPr>
                        <w:rPr>
                          <w:rFonts w:ascii="Cambria Math" w:hAnsi="Cambria Math"/>
                        </w:rPr>
                      </m:ctrlPr>
                    </m:fName>
                    <m:e>
                      <m:d>
                        <m:dPr>
                          <m:ctrlPr>
                            <w:rPr>
                              <w:rFonts w:ascii="Cambria Math" w:hAnsi="Cambria Math"/>
                            </w:rPr>
                          </m:ctrlPr>
                        </m:dPr>
                        <m:e>
                          <m:sSub>
                            <m:sSubPr>
                              <m:ctrlPr>
                                <w:rPr>
                                  <w:rFonts w:ascii="Cambria Math" w:hAnsi="Cambria Math"/>
                                </w:rPr>
                              </m:ctrlPr>
                            </m:sSubPr>
                            <m:e>
                              <m:r>
                                <m:rPr>
                                  <m:sty m:val="p"/>
                                </m:rPr>
                                <w:rPr>
                                  <w:rFonts w:hint="default" w:ascii="Cambria Math" w:hAnsi="Cambria Math"/>
                                  <w:lang w:eastAsia="zh-CN"/>
                                </w:rPr>
                                <m:t>T</m:t>
                              </m:r>
                              <m:ctrlPr>
                                <w:rPr>
                                  <w:rFonts w:ascii="Cambria Math" w:hAnsi="Cambria Math"/>
                                </w:rPr>
                              </m:ctrlPr>
                            </m:e>
                            <m:sub>
                              <m:r>
                                <m:rPr>
                                  <m:sty m:val="p"/>
                                </m:rPr>
                                <w:rPr>
                                  <w:rFonts w:hint="default" w:ascii="Cambria Math" w:hAnsi="Cambria Math"/>
                                  <w:lang w:eastAsia="zh-CN"/>
                                </w:rPr>
                                <m:t>effect,i</m:t>
                              </m:r>
                              <m:ctrlPr>
                                <w:rPr>
                                  <w:rFonts w:ascii="Cambria Math" w:hAnsi="Cambria Math"/>
                                </w:rPr>
                              </m:ctrlPr>
                            </m:sub>
                          </m:sSub>
                          <m:ctrlPr>
                            <w:rPr>
                              <w:rFonts w:ascii="Cambria Math" w:hAnsi="Cambria Math"/>
                            </w:rPr>
                          </m:ctrlPr>
                        </m:e>
                      </m:d>
                      <m:ctrlPr>
                        <w:rPr>
                          <w:rFonts w:ascii="Cambria Math" w:hAnsi="Cambria Math"/>
                        </w:rPr>
                      </m:ctrlPr>
                    </m:e>
                  </m:func>
                  <m:r>
                    <m:rPr>
                      <m:sty m:val="p"/>
                    </m:rPr>
                    <w:rPr>
                      <w:rFonts w:ascii="Cambria Math" w:hAnsi="Cambria Math"/>
                      <w:lang w:eastAsia="zh-CN"/>
                    </w:rPr>
                    <m:t xml:space="preserve"> </m:t>
                  </m:r>
                  <m:ctrlPr>
                    <w:rPr>
                      <w:rFonts w:ascii="Cambria Math" w:hAnsi="Cambria Math"/>
                    </w:rPr>
                  </m:ctrlPr>
                </m:e>
              </m:nary>
            </m:oMath>
          </w:p>
          <w:p>
            <w:pPr>
              <w:rPr>
                <w:lang w:eastAsia="zh-CN"/>
              </w:rPr>
            </w:pPr>
            <w:r>
              <w:rPr>
                <w:lang w:eastAsia="zh-CN"/>
              </w:rPr>
              <w:t>Where:</w:t>
            </w:r>
          </w:p>
          <w:p>
            <w:pPr>
              <w:pStyle w:val="49"/>
              <w:rPr>
                <w:lang w:eastAsia="zh-CN"/>
              </w:rPr>
            </w:pPr>
            <w:r>
              <w:rPr>
                <w:lang w:eastAsia="zh-CN"/>
              </w:rPr>
              <w:t>-</w:t>
            </w:r>
            <w:r>
              <w:rPr>
                <w:lang w:eastAsia="zh-CN"/>
              </w:rPr>
              <w:tab/>
            </w:r>
            <m:oMath>
              <m:r>
                <m:rPr>
                  <m:sty m:val="p"/>
                </m:rPr>
                <w:rPr>
                  <w:rFonts w:ascii="Cambria Math" w:hAnsi="Cambria Math"/>
                  <w:lang w:eastAsia="zh-CN"/>
                </w:rPr>
                <m:t>i</m:t>
              </m:r>
            </m:oMath>
            <w:r>
              <w:rPr>
                <w:lang w:eastAsia="zh-CN"/>
              </w:rPr>
              <w:t xml:space="preserve"> is the index of positioning frequency layer,</w:t>
            </w:r>
          </w:p>
          <w:p>
            <w:pPr>
              <w:pStyle w:val="49"/>
              <w:rPr>
                <w:lang w:eastAsia="zh-CN"/>
              </w:rPr>
            </w:pPr>
            <w:r>
              <w:t>-</w:t>
            </w:r>
            <w:r>
              <w:tab/>
            </w:r>
            <m:oMath>
              <m:r>
                <m:rPr>
                  <m:sty m:val="p"/>
                </m:rPr>
                <w:rPr>
                  <w:rFonts w:ascii="Cambria Math" w:hAnsi="Cambria Math"/>
                </w:rPr>
                <m:t>L</m:t>
              </m:r>
            </m:oMath>
            <w:r>
              <w:t xml:space="preserve"> is total number of </w:t>
            </w:r>
            <w:r>
              <w:rPr>
                <w:lang w:eastAsia="zh-CN"/>
              </w:rPr>
              <w:t xml:space="preserve">positioning </w:t>
            </w:r>
            <w:r>
              <w:t>frequency layers, and</w:t>
            </w:r>
          </w:p>
          <w:p>
            <w:pPr>
              <w:pStyle w:val="49"/>
              <w:rPr>
                <w:lang w:eastAsia="zh-CN"/>
              </w:rPr>
            </w:pPr>
            <w:r>
              <w:t>-</w:t>
            </w:r>
            <w:r>
              <w:tab/>
            </w:r>
            <m:oMath>
              <m:sSub>
                <m:sSubPr>
                  <m:ctrlPr>
                    <w:rPr>
                      <w:rFonts w:ascii="Cambria Math" w:hAnsi="Cambria Math"/>
                    </w:rPr>
                  </m:ctrlPr>
                </m:sSubPr>
                <m:e>
                  <m:r>
                    <m:rPr>
                      <m:sty m:val="p"/>
                    </m:rPr>
                    <w:rPr>
                      <w:rFonts w:hint="default" w:ascii="Cambria Math" w:hAnsi="Cambria Math"/>
                      <w:lang w:eastAsia="zh-CN"/>
                    </w:rPr>
                    <m:t>T</m:t>
                  </m:r>
                  <m:ctrlPr>
                    <w:rPr>
                      <w:rFonts w:ascii="Cambria Math" w:hAnsi="Cambria Math"/>
                    </w:rPr>
                  </m:ctrlPr>
                </m:e>
                <m:sub>
                  <m:r>
                    <m:rPr>
                      <m:sty m:val="p"/>
                    </m:rPr>
                    <w:rPr>
                      <w:rFonts w:hint="default" w:ascii="Cambria Math" w:hAnsi="Cambria Math"/>
                      <w:lang w:eastAsia="zh-CN"/>
                    </w:rPr>
                    <m:t>effect,</m:t>
                  </m:r>
                  <m:r>
                    <m:rPr>
                      <m:sty m:val="p"/>
                    </m:rPr>
                    <w:rPr>
                      <w:rFonts w:ascii="Cambria Math" w:hAnsi="Cambria Math"/>
                      <w:lang w:eastAsia="zh-CN"/>
                    </w:rPr>
                    <m:t>i</m:t>
                  </m:r>
                  <m:ctrlPr>
                    <w:rPr>
                      <w:rFonts w:ascii="Cambria Math" w:hAnsi="Cambria Math"/>
                    </w:rPr>
                  </m:ctrlPr>
                </m:sub>
              </m:sSub>
            </m:oMath>
            <w:r>
              <w:rPr>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m:oMath>
              <m:sSub>
                <m:sSubPr>
                  <m:ctrlPr>
                    <w:rPr>
                      <w:rFonts w:ascii="Cambria Math" w:hAnsi="Cambria Math"/>
                    </w:rPr>
                  </m:ctrlPr>
                </m:sSubPr>
                <m:e>
                  <m:r>
                    <m:rPr>
                      <m:sty m:val="p"/>
                    </m:rPr>
                    <w:rPr>
                      <w:rFonts w:hint="default" w:ascii="Cambria Math" w:hAnsi="Cambria Math"/>
                      <w:lang w:eastAsia="zh-CN"/>
                    </w:rPr>
                    <m:t>T</m:t>
                  </m:r>
                  <m:ctrlPr>
                    <w:rPr>
                      <w:rFonts w:ascii="Cambria Math" w:hAnsi="Cambria Math"/>
                    </w:rPr>
                  </m:ctrlPr>
                </m:e>
                <m:sub>
                  <m:r>
                    <m:rPr>
                      <m:sty m:val="p"/>
                    </m:rPr>
                    <w:rPr>
                      <w:rFonts w:hint="default" w:ascii="Cambria Math" w:hAnsi="Cambria Math"/>
                      <w:lang w:eastAsia="zh-CN"/>
                    </w:rPr>
                    <m:t>RSTD,i</m:t>
                  </m:r>
                  <m:ctrlPr>
                    <w:rPr>
                      <w:rFonts w:ascii="Cambria Math" w:hAnsi="Cambria Math"/>
                    </w:rPr>
                  </m:ctrlPr>
                </m:sub>
              </m:sSub>
            </m:oMath>
            <w:r>
              <w:t xml:space="preserve"> is the measurement period for PRS RSTD measurement in </w:t>
            </w:r>
            <w:r>
              <w:rPr>
                <w:lang w:eastAsia="zh-CN"/>
              </w:rPr>
              <w:t>positioning frequency layer</w:t>
            </w:r>
            <w:r>
              <w:t xml:space="preserve"> i as specified below:</w:t>
            </w:r>
          </w:p>
          <w:p>
            <w:pPr>
              <w:pStyle w:val="33"/>
            </w:pPr>
            <w:r>
              <w:tab/>
            </w:r>
            <m:oMath>
              <m:sSub>
                <m:sSubPr>
                  <m:ctrlPr>
                    <w:rPr>
                      <w:rFonts w:ascii="Cambria Math" w:hAnsi="Cambria Math"/>
                    </w:rPr>
                  </m:ctrlPr>
                </m:sSubPr>
                <m:e>
                  <m:r>
                    <m:rPr>
                      <m:sty m:val="p"/>
                    </m:rPr>
                    <w:rPr>
                      <w:rFonts w:hint="default" w:ascii="Cambria Math" w:hAnsi="Cambria Math"/>
                      <w:lang w:eastAsia="zh-CN"/>
                    </w:rPr>
                    <m:t>T</m:t>
                  </m:r>
                  <m:ctrlPr>
                    <w:rPr>
                      <w:rFonts w:ascii="Cambria Math" w:hAnsi="Cambria Math"/>
                    </w:rPr>
                  </m:ctrlPr>
                </m:e>
                <m:sub>
                  <m:r>
                    <m:rPr>
                      <m:sty m:val="p"/>
                    </m:rPr>
                    <w:rPr>
                      <w:rFonts w:hint="default" w:ascii="Cambria Math" w:hAnsi="Cambria Math"/>
                      <w:lang w:eastAsia="zh-CN"/>
                    </w:rPr>
                    <m:t>RSTD,i</m:t>
                  </m:r>
                  <m:ctrlPr>
                    <w:rPr>
                      <w:rFonts w:ascii="Cambria Math" w:hAnsi="Cambria Math"/>
                    </w:rPr>
                  </m:ctrlP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hint="default"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Rx,TEG,i</m:t>
                              </m:r>
                              <m:ctrlPr>
                                <w:rPr>
                                  <w:rFonts w:ascii="Cambria Math" w:hAnsi="Cambria Math"/>
                                </w:rPr>
                              </m:ctrlPr>
                            </m:sub>
                          </m:sSub>
                          <m:r>
                            <m:rPr>
                              <m:sty m:val="p"/>
                            </m:rPr>
                            <w:rPr>
                              <w:rFonts w:ascii="Cambria Math" w:hAnsi="Cambria Math"/>
                            </w:rPr>
                            <m:t>∗N</m:t>
                          </m:r>
                          <m:ctrlPr>
                            <w:rPr>
                              <w:rFonts w:ascii="Cambria Math" w:hAnsi="Cambria Math"/>
                            </w:rPr>
                          </m:ctrlPr>
                        </m:e>
                        <m:sub>
                          <m:r>
                            <m:rPr>
                              <m:sty m:val="p"/>
                            </m:rPr>
                            <w:rPr>
                              <w:rFonts w:ascii="Cambria Math" w:hAnsi="Cambria Math"/>
                            </w:rPr>
                            <m:t>RxBeam,i</m:t>
                          </m:r>
                          <m:ctrlPr>
                            <w:rPr>
                              <w:rFonts w:ascii="Cambria Math" w:hAnsi="Cambria Math"/>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PRS,i</m:t>
                                  </m:r>
                                  <m:ctrlPr>
                                    <w:rPr>
                                      <w:rFonts w:ascii="Cambria Math" w:hAnsi="Cambria Math"/>
                                    </w:rPr>
                                  </m:ctrlPr>
                                </m:sub>
                                <m:sup>
                                  <m:r>
                                    <m:rPr>
                                      <m:sty m:val="p"/>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m:sty m:val="p"/>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lang w:eastAsia="zh-CN"/>
                                    </w:rPr>
                                  </m:ctrlPr>
                                </m:sSubPr>
                                <m:e>
                                  <m:r>
                                    <m:rPr>
                                      <m:sty m:val="p"/>
                                    </m:rPr>
                                    <w:rPr>
                                      <w:rFonts w:ascii="Cambria Math" w:hAnsi="Cambria Math"/>
                                      <w:lang w:eastAsia="zh-CN"/>
                                    </w:rPr>
                                    <m:t>L</m:t>
                                  </m:r>
                                  <m:ctrlPr>
                                    <w:rPr>
                                      <w:rFonts w:ascii="Cambria Math" w:hAnsi="Cambria Math"/>
                                      <w:lang w:eastAsia="zh-CN"/>
                                    </w:rPr>
                                  </m:ctrlPr>
                                </m:e>
                                <m:sub>
                                  <m:r>
                                    <m:rPr>
                                      <m:sty m:val="p"/>
                                    </m:rPr>
                                    <w:rPr>
                                      <w:rFonts w:ascii="Cambria Math" w:hAnsi="Cambria Math"/>
                                      <w:lang w:eastAsia="zh-CN"/>
                                    </w:rPr>
                                    <m:t>available_PRS</m:t>
                                  </m:r>
                                  <m:r>
                                    <m:rPr>
                                      <m:sty m:val="p"/>
                                    </m:rPr>
                                    <w:rPr>
                                      <w:rFonts w:hint="default" w:ascii="Cambria Math" w:hAnsi="Cambria Math"/>
                                      <w:lang w:eastAsia="zh-CN"/>
                                    </w:rPr>
                                    <m:t>,i</m:t>
                                  </m:r>
                                  <m:ctrlPr>
                                    <w:rPr>
                                      <w:rFonts w:ascii="Cambria Math" w:hAnsi="Cambria Math"/>
                                      <w:lang w:eastAsia="zh-CN"/>
                                    </w:rPr>
                                  </m:ctrlPr>
                                </m:sub>
                              </m:sSub>
                              <m:ctrlPr>
                                <w:rPr>
                                  <w:rFonts w:ascii="Cambria Math" w:hAnsi="Cambria Math"/>
                                </w:rPr>
                              </m:ctrlPr>
                            </m:num>
                            <m:den>
                              <m:r>
                                <m:rPr>
                                  <m:sty m:val="p"/>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hint="default" w:ascii="Cambria Math" w:hAnsi="Cambria Math"/>
                      <w:lang w:eastAsia="zh-CN"/>
                    </w:rPr>
                    <m:t>∗T</m:t>
                  </m:r>
                  <m:ctrlPr>
                    <w:rPr>
                      <w:rFonts w:ascii="Cambria Math" w:hAnsi="Cambria Math"/>
                    </w:rPr>
                  </m:ctrlPr>
                </m:e>
                <m:sub>
                  <m:r>
                    <m:rPr>
                      <m:sty m:val="p"/>
                    </m:rPr>
                    <w:rPr>
                      <w:rFonts w:hint="default"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last</m:t>
                  </m:r>
                  <m:r>
                    <m:rPr>
                      <m:sty m:val="p"/>
                    </m:rPr>
                    <w:rPr>
                      <w:rFonts w:hint="default" w:ascii="Cambria Math" w:hAnsi="Cambria Math"/>
                    </w:rPr>
                    <m:t>,i</m:t>
                  </m:r>
                  <m:ctrlPr>
                    <w:rPr>
                      <w:rFonts w:ascii="Cambria Math" w:hAnsi="Cambria Math"/>
                    </w:rPr>
                  </m:ctrlPr>
                </m:sub>
              </m:sSub>
            </m:oMath>
            <w:r>
              <w:t xml:space="preserve"> ,</w:t>
            </w:r>
          </w:p>
          <w:p>
            <w:pPr>
              <w:rPr>
                <w:rFonts w:hint="eastAsia" w:eastAsia="宋体"/>
                <w:lang w:val="en-US" w:eastAsia="zh-CN"/>
              </w:rPr>
            </w:pP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oMath>
            <w:r>
              <w:rPr>
                <w:rFonts w:hint="eastAsia"/>
              </w:rPr>
              <w:t xml:space="preserve">, 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rPr>
                <w:rFonts w:hint="eastAsia"/>
              </w:rPr>
              <w:t xml:space="preserve"> 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rFonts w:hint="eastAsia" w:hAnsi="Cambria Math" w:eastAsia="宋体"/>
                <w:i w:val="0"/>
                <w:lang w:val="en-US" w:eastAsia="zh-CN"/>
              </w:rPr>
              <w:t>.</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sz w:val="22"/>
          <w:szCs w:val="22"/>
          <w:lang w:val="en-US" w:eastAsia="zh-CN"/>
        </w:rPr>
        <w:t>In the current spec TS38.133 the requirements for RRC_Inactive state in R17 for positioning defined by per DRX cycle, and in this meeting we shall discuss the new requirements for RRC_Inactive state in R18 for positioning defined by per eDRX as WID mentioned, we only consider the eDRX factor based on the legacy requirements. Since the existing redcap session defines the measurement of PRS, SSB, and Paging in PTW, if a worst-case is defined, which means the eDRX value is 10485.76s (about 3 hours), then there is no PRS measurement between two PTWs. If based on the requirements of the existing redcap, PRS is only measured in two PTWs with long intervals, which does not actually meet the positioning scene interval of LPHAP application scenarios.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LPHAP use case 6:</w:t>
      </w:r>
    </w:p>
    <w:tbl>
      <w:tblPr>
        <w:tblStyle w:val="2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48"/>
        <w:gridCol w:w="1228"/>
        <w:gridCol w:w="1497"/>
        <w:gridCol w:w="2058"/>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42" w:hRule="atLeast"/>
          <w:jc w:val="center"/>
        </w:trPr>
        <w:tc>
          <w:tcPr>
            <w:tcW w:w="1348" w:type="dxa"/>
            <w:noWrap w:val="0"/>
            <w:vAlign w:val="top"/>
          </w:tcPr>
          <w:p>
            <w:pPr>
              <w:pStyle w:val="42"/>
              <w:rPr>
                <w:lang w:eastAsia="zh-CN"/>
              </w:rPr>
            </w:pPr>
            <w:r>
              <w:t>Use</w:t>
            </w:r>
            <w:r>
              <w:rPr>
                <w:lang w:eastAsia="zh-CN"/>
              </w:rPr>
              <w:t xml:space="preserve"> Case #</w:t>
            </w:r>
          </w:p>
        </w:tc>
        <w:tc>
          <w:tcPr>
            <w:tcW w:w="1228" w:type="dxa"/>
            <w:noWrap w:val="0"/>
            <w:vAlign w:val="top"/>
          </w:tcPr>
          <w:p>
            <w:pPr>
              <w:pStyle w:val="42"/>
            </w:pPr>
            <w:r>
              <w:t>Horizontal accuracy</w:t>
            </w:r>
          </w:p>
        </w:tc>
        <w:tc>
          <w:tcPr>
            <w:tcW w:w="1497" w:type="dxa"/>
            <w:noWrap w:val="0"/>
            <w:vAlign w:val="top"/>
          </w:tcPr>
          <w:p>
            <w:pPr>
              <w:pStyle w:val="42"/>
            </w:pPr>
            <w:r>
              <w:t>Corresponding service level (22.261)</w:t>
            </w:r>
          </w:p>
        </w:tc>
        <w:tc>
          <w:tcPr>
            <w:tcW w:w="2058" w:type="dxa"/>
            <w:noWrap w:val="0"/>
            <w:vAlign w:val="top"/>
          </w:tcPr>
          <w:p>
            <w:pPr>
              <w:pStyle w:val="42"/>
              <w:rPr>
                <w:rFonts w:hint="default" w:eastAsia="宋体"/>
                <w:color w:val="0000FF"/>
                <w:lang w:val="en-US" w:eastAsia="zh-CN"/>
              </w:rPr>
            </w:pPr>
            <w:r>
              <w:rPr>
                <w:color w:val="0000FF"/>
              </w:rPr>
              <w:t>Positioning interval/ duty cycle</w:t>
            </w:r>
          </w:p>
        </w:tc>
        <w:tc>
          <w:tcPr>
            <w:tcW w:w="3187" w:type="dxa"/>
            <w:noWrap w:val="0"/>
            <w:vAlign w:val="top"/>
          </w:tcPr>
          <w:p>
            <w:pPr>
              <w:pStyle w:val="42"/>
            </w:pPr>
            <w:r>
              <w:t>battery life time/ minimum operation time</w:t>
            </w:r>
          </w:p>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42" w:hRule="atLeast"/>
          <w:jc w:val="center"/>
        </w:trPr>
        <w:tc>
          <w:tcPr>
            <w:tcW w:w="1348" w:type="dxa"/>
            <w:noWrap w:val="0"/>
            <w:vAlign w:val="top"/>
          </w:tcPr>
          <w:p>
            <w:pPr>
              <w:pStyle w:val="42"/>
              <w:rPr>
                <w:rFonts w:hint="eastAsia" w:eastAsia="宋体"/>
                <w:lang w:val="en-US" w:eastAsia="zh-CN"/>
              </w:rPr>
            </w:pPr>
            <w:r>
              <w:rPr>
                <w:rFonts w:hint="eastAsia" w:eastAsia="宋体"/>
                <w:lang w:val="en-US" w:eastAsia="zh-CN"/>
              </w:rPr>
              <w:t>6</w:t>
            </w:r>
          </w:p>
        </w:tc>
        <w:tc>
          <w:tcPr>
            <w:tcW w:w="1228" w:type="dxa"/>
            <w:noWrap w:val="0"/>
            <w:vAlign w:val="top"/>
          </w:tcPr>
          <w:p>
            <w:pPr>
              <w:pStyle w:val="42"/>
              <w:rPr>
                <w:rFonts w:hint="default" w:eastAsia="宋体"/>
                <w:lang w:val="en-US" w:eastAsia="zh-CN"/>
              </w:rPr>
            </w:pPr>
            <w:r>
              <w:rPr>
                <w:rFonts w:hint="eastAsia" w:eastAsia="宋体"/>
                <w:lang w:val="en-US" w:eastAsia="zh-CN"/>
              </w:rPr>
              <w:t>&lt;1m</w:t>
            </w:r>
          </w:p>
        </w:tc>
        <w:tc>
          <w:tcPr>
            <w:tcW w:w="1497" w:type="dxa"/>
            <w:noWrap w:val="0"/>
            <w:vAlign w:val="top"/>
          </w:tcPr>
          <w:p>
            <w:pPr>
              <w:pStyle w:val="42"/>
              <w:rPr>
                <w:rFonts w:hint="default" w:eastAsia="宋体"/>
                <w:lang w:val="en-US" w:eastAsia="zh-CN"/>
              </w:rPr>
            </w:pPr>
            <w:r>
              <w:rPr>
                <w:rFonts w:hint="eastAsia" w:eastAsia="宋体"/>
                <w:lang w:val="en-US" w:eastAsia="zh-CN"/>
              </w:rPr>
              <w:t>Service level 3</w:t>
            </w:r>
          </w:p>
        </w:tc>
        <w:tc>
          <w:tcPr>
            <w:tcW w:w="2058" w:type="dxa"/>
            <w:noWrap w:val="0"/>
            <w:vAlign w:val="top"/>
          </w:tcPr>
          <w:p>
            <w:pPr>
              <w:pStyle w:val="42"/>
              <w:rPr>
                <w:rFonts w:hint="default" w:eastAsia="宋体"/>
                <w:color w:val="0000FF"/>
                <w:lang w:val="en-US" w:eastAsia="zh-CN"/>
              </w:rPr>
            </w:pPr>
            <w:r>
              <w:rPr>
                <w:rFonts w:hint="eastAsia" w:eastAsia="宋体"/>
                <w:color w:val="0000FF"/>
                <w:lang w:val="en-US" w:eastAsia="zh-CN"/>
              </w:rPr>
              <w:t>15s-30s</w:t>
            </w:r>
          </w:p>
        </w:tc>
        <w:tc>
          <w:tcPr>
            <w:tcW w:w="3187" w:type="dxa"/>
            <w:noWrap w:val="0"/>
            <w:vAlign w:val="top"/>
          </w:tcPr>
          <w:p>
            <w:pPr>
              <w:pStyle w:val="42"/>
              <w:rPr>
                <w:rFonts w:hint="default" w:eastAsia="宋体"/>
                <w:lang w:val="en-US" w:eastAsia="zh-CN"/>
              </w:rPr>
            </w:pPr>
            <w:r>
              <w:rPr>
                <w:rFonts w:hint="eastAsia" w:eastAsia="宋体"/>
                <w:lang w:val="en-US" w:eastAsia="zh-CN"/>
              </w:rPr>
              <w:t>6-12months</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heme="minorHAnsi" w:hAnsiTheme="minorHAnsi" w:eastAsiaTheme="minorHAnsi" w:cstheme="minorBidi"/>
          <w:sz w:val="22"/>
          <w:szCs w:val="22"/>
          <w:lang w:val="sv-SE" w:eastAsia="ja-JP" w:bidi="ar-SA"/>
        </w:rPr>
      </w:pPr>
      <w:r>
        <w:rPr>
          <w:rFonts w:hint="eastAsia"/>
          <w:b/>
          <w:bCs/>
          <w:sz w:val="22"/>
          <w:szCs w:val="22"/>
          <w:lang w:val="en-US" w:eastAsia="zh-CN"/>
        </w:rPr>
        <w:t xml:space="preserve">Proposal 1:  </w:t>
      </w:r>
      <w:r>
        <w:rPr>
          <w:b/>
          <w:bCs/>
        </w:rPr>
        <w:t>T</w:t>
      </w:r>
      <w:r>
        <w:rPr>
          <w:b/>
          <w:bCs/>
          <w:vertAlign w:val="subscript"/>
        </w:rPr>
        <w:t>available</w:t>
      </w:r>
      <w:r>
        <w:rPr>
          <w:rFonts w:hint="eastAsia"/>
          <w:b/>
          <w:bCs/>
          <w:sz w:val="22"/>
          <w:szCs w:val="22"/>
          <w:lang w:val="en-US" w:eastAsia="zh-CN"/>
        </w:rPr>
        <w:t xml:space="preserve"> is LCM (</w:t>
      </w:r>
      <w:r>
        <w:rPr>
          <w:b/>
          <w:bCs/>
        </w:rPr>
        <w:t>T</w:t>
      </w:r>
      <w:r>
        <w:rPr>
          <w:b/>
          <w:bCs/>
          <w:vertAlign w:val="subscript"/>
        </w:rPr>
        <w:t>PRS,i</w:t>
      </w:r>
      <w:r>
        <w:rPr>
          <w:rFonts w:hint="eastAsia"/>
          <w:b/>
          <w:bCs/>
          <w:sz w:val="22"/>
          <w:szCs w:val="22"/>
          <w:lang w:val="en-US" w:eastAsia="zh-CN"/>
        </w:rPr>
        <w:t xml:space="preserve">, </w:t>
      </w:r>
      <w:r>
        <w:rPr>
          <w:b/>
          <w:bCs/>
        </w:rPr>
        <w:t>T</w:t>
      </w:r>
      <w:r>
        <w:rPr>
          <w:b/>
          <w:bCs/>
          <w:vertAlign w:val="subscript"/>
        </w:rPr>
        <w:t>DRX</w:t>
      </w:r>
      <w:r>
        <w:rPr>
          <w:rFonts w:hint="eastAsia"/>
          <w:b/>
          <w:bCs/>
          <w:sz w:val="22"/>
          <w:szCs w:val="22"/>
          <w:lang w:val="en-US" w:eastAsia="zh-CN"/>
        </w:rPr>
        <w:t xml:space="preserve">), and </w:t>
      </w:r>
      <w:r>
        <w:rPr>
          <w:b/>
          <w:bCs/>
        </w:rPr>
        <w:t>T</w:t>
      </w:r>
      <w:r>
        <w:rPr>
          <w:b/>
          <w:bCs/>
          <w:vertAlign w:val="subscript"/>
        </w:rPr>
        <w:t>DRX</w:t>
      </w:r>
      <w:r>
        <w:rPr>
          <w:rFonts w:hint="eastAsia"/>
          <w:b/>
          <w:bCs/>
          <w:sz w:val="22"/>
          <w:szCs w:val="22"/>
          <w:lang w:val="en-US" w:eastAsia="zh-CN"/>
        </w:rPr>
        <w:t xml:space="preserve"> is the maximum of the DRX cycles within the CN PTW and the RAN PTW, according to RAN2 definitions of UE DRX cycle in Rel-18 eRedCap.</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highlight w:val="yellow"/>
                <w:lang w:val="en-US"/>
              </w:rPr>
            </w:pPr>
            <w:r>
              <w:rPr>
                <w:b/>
                <w:highlight w:val="yellow"/>
                <w:lang w:val="en-US"/>
              </w:rPr>
              <w:t>Issue 1-1-7:</w:t>
            </w:r>
            <w:r>
              <w:rPr>
                <w:highlight w:val="yellow"/>
              </w:rPr>
              <w:t xml:space="preserve"> </w:t>
            </w:r>
            <w:r>
              <w:rPr>
                <w:b/>
                <w:highlight w:val="yellow"/>
              </w:rPr>
              <w:t>eDRX and PRS/SRS alignment</w:t>
            </w:r>
          </w:p>
          <w:p>
            <w:pPr>
              <w:pStyle w:val="70"/>
              <w:numPr>
                <w:ilvl w:val="0"/>
                <w:numId w:val="4"/>
              </w:numPr>
              <w:overflowPunct/>
              <w:autoSpaceDE/>
              <w:autoSpaceDN/>
              <w:adjustRightInd/>
              <w:spacing w:after="120"/>
              <w:ind w:left="720" w:firstLineChars="0"/>
              <w:textAlignment w:val="auto"/>
              <w:rPr>
                <w:color w:val="0070C0"/>
              </w:rPr>
            </w:pPr>
            <w:r>
              <w:rPr>
                <w:rFonts w:hint="eastAsia"/>
                <w:color w:val="0070C0"/>
              </w:rPr>
              <w:t>Wayforward</w:t>
            </w:r>
          </w:p>
          <w:p>
            <w:pPr>
              <w:pStyle w:val="70"/>
              <w:numPr>
                <w:ilvl w:val="1"/>
                <w:numId w:val="4"/>
              </w:numPr>
              <w:spacing w:after="120" w:line="252" w:lineRule="auto"/>
              <w:ind w:firstLineChars="0"/>
              <w:rPr>
                <w:lang w:eastAsia="ja-JP"/>
              </w:rPr>
            </w:pPr>
            <w:r>
              <w:rPr>
                <w:lang w:eastAsia="ja-JP"/>
              </w:rPr>
              <w:t xml:space="preserve">Option 1: </w:t>
            </w:r>
          </w:p>
          <w:p>
            <w:pPr>
              <w:pStyle w:val="70"/>
              <w:numPr>
                <w:ilvl w:val="2"/>
                <w:numId w:val="4"/>
              </w:numPr>
              <w:spacing w:after="120" w:line="252" w:lineRule="auto"/>
              <w:ind w:firstLineChars="0"/>
              <w:rPr>
                <w:lang w:eastAsia="ja-JP"/>
              </w:rPr>
            </w:pPr>
            <w:r>
              <w:rPr>
                <w:lang w:eastAsia="ja-JP"/>
              </w:rPr>
              <w:t>RAN4 to wait for progress in RAN2 on alignment between eDRX cycle and PRS configuration before evaluating its impact on PRS measurement requirements.</w:t>
            </w:r>
          </w:p>
          <w:p>
            <w:pPr>
              <w:pStyle w:val="70"/>
              <w:numPr>
                <w:ilvl w:val="1"/>
                <w:numId w:val="4"/>
              </w:numPr>
              <w:spacing w:after="120" w:line="252" w:lineRule="auto"/>
              <w:ind w:firstLineChars="0"/>
              <w:rPr>
                <w:lang w:eastAsia="ja-JP"/>
              </w:rPr>
            </w:pPr>
            <w:r>
              <w:rPr>
                <w:lang w:eastAsia="ja-JP"/>
              </w:rPr>
              <w:t xml:space="preserve">Option 2: </w:t>
            </w:r>
          </w:p>
          <w:p>
            <w:pPr>
              <w:pStyle w:val="70"/>
              <w:numPr>
                <w:ilvl w:val="2"/>
                <w:numId w:val="4"/>
              </w:numPr>
              <w:spacing w:after="120" w:line="252" w:lineRule="auto"/>
              <w:ind w:firstLineChars="0"/>
              <w:rPr>
                <w:lang w:eastAsia="ja-JP"/>
              </w:rPr>
            </w:pPr>
            <w:r>
              <w:rPr>
                <w:lang w:eastAsia="ja-JP"/>
              </w:rPr>
              <w:t>RAN4 not to define applicability condition for PRS measurement requirements related to alignment between (e)DRX and PRS configuration.</w:t>
            </w:r>
          </w:p>
          <w:p>
            <w:pPr>
              <w:rPr>
                <w:rFonts w:hint="default" w:eastAsia="宋体" w:asciiTheme="minorHAnsi" w:hAnsiTheme="minorHAnsi" w:cstheme="minorBidi"/>
                <w:sz w:val="22"/>
                <w:szCs w:val="22"/>
                <w:vertAlign w:val="baseline"/>
                <w:lang w:val="en-US" w:eastAsia="zh-CN" w:bidi="ar-SA"/>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i w:val="0"/>
          <w:sz w:val="22"/>
          <w:szCs w:val="22"/>
          <w:lang w:val="en-US" w:eastAsia="zh-CN"/>
        </w:rPr>
      </w:pPr>
      <w:r>
        <w:rPr>
          <w:rFonts w:hint="eastAsia" w:hAnsi="Cambria Math" w:eastAsia="宋体"/>
          <w:i w:val="0"/>
          <w:sz w:val="22"/>
          <w:szCs w:val="22"/>
          <w:lang w:val="en-US" w:eastAsia="zh-CN"/>
        </w:rPr>
        <w:t>RAN4 needs to study the eDRX and PRS/SRS alignment the WID mentioned. In R18 RAN2 is discussing the PTW exists in RRC Inactive state and there is little progress, so option 2 and option 3 are both fine to us that whether and how to align the eDRX and PRS/SRS alignment based on the RAN2 progress. However, from my point view there are some confusion about the relationship between the PTW and the processing window which proposed in R17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eastAsia="宋体" w:asciiTheme="minorHAnsi" w:hAnsiTheme="minorHAnsi" w:cstheme="minorBidi"/>
                <w:b/>
                <w:bCs/>
                <w:sz w:val="22"/>
                <w:szCs w:val="22"/>
                <w:lang w:val="en-US" w:eastAsia="zh-CN" w:bidi="ar-SA"/>
              </w:rPr>
            </w:pPr>
            <w:r>
              <w:rPr>
                <w:rFonts w:hint="eastAsia" w:eastAsia="宋体" w:asciiTheme="minorHAnsi" w:hAnsiTheme="minorHAnsi" w:cstheme="minorBidi"/>
                <w:b/>
                <w:bCs/>
                <w:sz w:val="22"/>
                <w:szCs w:val="22"/>
                <w:lang w:val="en-US" w:eastAsia="zh-CN" w:bidi="ar-SA"/>
              </w:rPr>
              <w:t>TS 38.133  5.6.1</w:t>
            </w:r>
          </w:p>
          <w:p>
            <w:pPr>
              <w:rPr>
                <w:rFonts w:hint="default" w:eastAsia="宋体" w:asciiTheme="minorHAnsi" w:hAnsiTheme="minorHAnsi" w:cstheme="minorBidi"/>
                <w:sz w:val="22"/>
                <w:szCs w:val="22"/>
                <w:vertAlign w:val="baseline"/>
                <w:lang w:val="en-US" w:eastAsia="zh-CN" w:bidi="ar-SA"/>
              </w:rPr>
            </w:pPr>
            <w:r>
              <w:rPr>
                <w:rFonts w:asciiTheme="minorHAnsi" w:hAnsiTheme="minorHAnsi" w:eastAsiaTheme="minorHAnsi" w:cstheme="minorBidi"/>
                <w:i/>
                <w:iCs/>
                <w:sz w:val="22"/>
                <w:szCs w:val="22"/>
                <w:lang w:val="sv-SE" w:eastAsia="ja-JP" w:bidi="ar-SA"/>
              </w:rPr>
              <w:t xml:space="preserve">The requirements in clauses 5.6.2, 5.6.3, 5.6.4 and 5.6.5 apply provided that all PRS resources within a PFL are within up to 2 separate windows within TPRS,i for each </w:t>
            </w:r>
            <w:r>
              <w:rPr>
                <w:rFonts w:asciiTheme="minorHAnsi" w:hAnsiTheme="minorHAnsi" w:eastAsiaTheme="minorHAnsi" w:cstheme="minorBidi"/>
                <w:i/>
                <w:iCs/>
                <w:sz w:val="22"/>
                <w:szCs w:val="22"/>
                <w:lang w:val="sv-SE" w:eastAsia="zh-CN" w:bidi="ar-SA"/>
              </w:rPr>
              <w:t xml:space="preserve">positioning </w:t>
            </w:r>
            <w:r>
              <w:rPr>
                <w:rFonts w:asciiTheme="minorHAnsi" w:hAnsiTheme="minorHAnsi" w:eastAsiaTheme="minorHAnsi" w:cstheme="minorBidi"/>
                <w:i/>
                <w:iCs/>
                <w:sz w:val="22"/>
                <w:szCs w:val="22"/>
                <w:lang w:val="sv-SE" w:eastAsia="ja-JP" w:bidi="ar-SA"/>
              </w:rPr>
              <w:t>frequency layer i as defined in clauses 5.6.2, 5.6.3, 5.6.4 and 5.6.5, where each window is up to 10ms.</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i w:val="0"/>
          <w:sz w:val="22"/>
          <w:szCs w:val="22"/>
          <w:lang w:val="en-US" w:eastAsia="zh-CN"/>
        </w:rPr>
      </w:pPr>
      <w:r>
        <w:rPr>
          <w:rFonts w:hint="eastAsia" w:hAnsi="Cambria Math" w:eastAsia="宋体"/>
          <w:i w:val="0"/>
          <w:sz w:val="22"/>
          <w:szCs w:val="22"/>
          <w:lang w:val="en-US" w:eastAsia="zh-CN"/>
        </w:rPr>
        <w:t xml:space="preserve">In R17 we proposed the processing window to receive the PRS resources in order to reduce the power consumption. But the details for the processing windows are not concrete, that is , when to start and how the processing window is configured etc. The alignment between eDRX and PRS/SRS means that the UE would like to receive the PRS resources in PTW, so the relationship between the PTW and the processing window shall be clarified since I deem that the function of these two </w:t>
      </w:r>
      <w:r>
        <w:rPr>
          <w:rFonts w:hint="default" w:hAnsi="Cambria Math" w:eastAsia="宋体"/>
          <w:i w:val="0"/>
          <w:sz w:val="22"/>
          <w:szCs w:val="22"/>
          <w:lang w:val="en-US" w:eastAsia="zh-CN"/>
        </w:rPr>
        <w:t>“</w:t>
      </w:r>
      <w:r>
        <w:rPr>
          <w:rFonts w:hint="eastAsia" w:hAnsi="Cambria Math" w:eastAsia="宋体"/>
          <w:i w:val="0"/>
          <w:sz w:val="22"/>
          <w:szCs w:val="22"/>
          <w:lang w:val="en-US" w:eastAsia="zh-CN"/>
        </w:rPr>
        <w:t>windows</w:t>
      </w:r>
      <w:r>
        <w:rPr>
          <w:rFonts w:hint="default" w:hAnsi="Cambria Math" w:eastAsia="宋体"/>
          <w:i w:val="0"/>
          <w:sz w:val="22"/>
          <w:szCs w:val="22"/>
          <w:lang w:val="en-US" w:eastAsia="zh-CN"/>
        </w:rPr>
        <w:t>”</w:t>
      </w:r>
      <w:r>
        <w:rPr>
          <w:rFonts w:hint="eastAsia" w:hAnsi="Cambria Math" w:eastAsia="宋体"/>
          <w:i w:val="0"/>
          <w:sz w:val="22"/>
          <w:szCs w:val="22"/>
          <w:lang w:val="en-US" w:eastAsia="zh-CN"/>
        </w:rPr>
        <w:t xml:space="preserve"> are similar to each other in Inactive state.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Observation 1: The function of the processing window and the PTW in Inactive state when discussing the eDRX and PRS/SRS alignment are similar to each other.</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sv-SE" w:eastAsia="ja-JP"/>
        </w:rPr>
      </w:pPr>
      <w:r>
        <w:rPr>
          <w:rFonts w:hint="eastAsia"/>
          <w:b/>
          <w:bCs/>
          <w:sz w:val="22"/>
          <w:szCs w:val="22"/>
          <w:lang w:val="en-US" w:eastAsia="zh-CN"/>
        </w:rPr>
        <w:t xml:space="preserve">Proposal 2: </w:t>
      </w:r>
      <w:r>
        <w:rPr>
          <w:rFonts w:hint="eastAsia"/>
          <w:b/>
          <w:bCs/>
          <w:sz w:val="22"/>
          <w:szCs w:val="22"/>
          <w:lang w:val="sv-SE" w:eastAsia="ja-JP"/>
        </w:rPr>
        <w:t>RAN4 to wait for progress in RAN2 on alignment between eDRX cycle and PRS configuration before evaluating its impact on PRS measurement requirements.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Proposal 3: RAN4 shall clarify the relationship between the processing window and the PTW in Inactive state.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b/>
          <w:bCs/>
          <w:sz w:val="22"/>
          <w:szCs w:val="22"/>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b/>
          <w:bCs/>
          <w:sz w:val="22"/>
          <w:szCs w:val="22"/>
          <w:lang w:val="en-US" w:eastAsia="zh-CN"/>
        </w:rPr>
      </w:pPr>
    </w:p>
    <w:p>
      <w:pPr>
        <w:pStyle w:val="74"/>
        <w:rPr>
          <w:lang w:val="en-US"/>
        </w:rPr>
      </w:pPr>
      <w:r>
        <w:rPr>
          <w:lang w:val="en-US"/>
        </w:rPr>
        <w:t>Conclusion</w:t>
      </w:r>
    </w:p>
    <w:p>
      <w:pPr>
        <w:rPr>
          <w:lang w:val="en-GB"/>
        </w:rPr>
      </w:pPr>
      <w:r>
        <w:rPr>
          <w:lang w:val="en-GB"/>
        </w:rPr>
        <w:t xml:space="preserve">The following </w:t>
      </w:r>
      <w:r>
        <w:rPr>
          <w:rFonts w:hint="eastAsia" w:eastAsia="宋体"/>
          <w:lang w:val="en-US" w:eastAsia="zh-CN"/>
        </w:rPr>
        <w:t xml:space="preserve">observations and </w:t>
      </w:r>
      <w:r>
        <w:rPr>
          <w:lang w:val="en-GB"/>
        </w:rPr>
        <w:t>proposals are made.</w:t>
      </w:r>
    </w:p>
    <w:p>
      <w:r>
        <w:rPr>
          <w:rFonts w:hint="eastAsia"/>
          <w:b/>
          <w:bCs/>
          <w:sz w:val="22"/>
          <w:szCs w:val="22"/>
          <w:lang w:val="en-US" w:eastAsia="zh-CN"/>
        </w:rPr>
        <w:t xml:space="preserve">Proposal 1:  </w:t>
      </w:r>
      <w:r>
        <w:rPr>
          <w:b/>
          <w:bCs/>
        </w:rPr>
        <w:t>T</w:t>
      </w:r>
      <w:r>
        <w:rPr>
          <w:b/>
          <w:bCs/>
          <w:vertAlign w:val="subscript"/>
        </w:rPr>
        <w:t>available</w:t>
      </w:r>
      <w:r>
        <w:rPr>
          <w:rFonts w:hint="eastAsia"/>
          <w:b/>
          <w:bCs/>
          <w:sz w:val="22"/>
          <w:szCs w:val="22"/>
          <w:lang w:val="en-US" w:eastAsia="zh-CN"/>
        </w:rPr>
        <w:t xml:space="preserve"> is LCM (</w:t>
      </w:r>
      <w:r>
        <w:rPr>
          <w:b/>
          <w:bCs/>
        </w:rPr>
        <w:t>T</w:t>
      </w:r>
      <w:r>
        <w:rPr>
          <w:b/>
          <w:bCs/>
          <w:vertAlign w:val="subscript"/>
        </w:rPr>
        <w:t>PRS,i</w:t>
      </w:r>
      <w:r>
        <w:rPr>
          <w:rFonts w:hint="eastAsia"/>
          <w:b/>
          <w:bCs/>
          <w:sz w:val="22"/>
          <w:szCs w:val="22"/>
          <w:lang w:val="en-US" w:eastAsia="zh-CN"/>
        </w:rPr>
        <w:t xml:space="preserve">, </w:t>
      </w:r>
      <w:r>
        <w:rPr>
          <w:b/>
          <w:bCs/>
        </w:rPr>
        <w:t>T</w:t>
      </w:r>
      <w:r>
        <w:rPr>
          <w:b/>
          <w:bCs/>
          <w:vertAlign w:val="subscript"/>
        </w:rPr>
        <w:t>DRX</w:t>
      </w:r>
      <w:r>
        <w:rPr>
          <w:rFonts w:hint="eastAsia"/>
          <w:b/>
          <w:bCs/>
          <w:sz w:val="22"/>
          <w:szCs w:val="22"/>
          <w:lang w:val="en-US" w:eastAsia="zh-CN"/>
        </w:rPr>
        <w:t xml:space="preserve">), and </w:t>
      </w:r>
      <w:r>
        <w:rPr>
          <w:b/>
          <w:bCs/>
        </w:rPr>
        <w:t>T</w:t>
      </w:r>
      <w:r>
        <w:rPr>
          <w:b/>
          <w:bCs/>
          <w:vertAlign w:val="subscript"/>
        </w:rPr>
        <w:t>DRX</w:t>
      </w:r>
      <w:r>
        <w:rPr>
          <w:rFonts w:hint="eastAsia"/>
          <w:b/>
          <w:bCs/>
          <w:sz w:val="22"/>
          <w:szCs w:val="22"/>
          <w:lang w:val="en-US" w:eastAsia="zh-CN"/>
        </w:rPr>
        <w:t xml:space="preserve"> is the maximum of the DRX cycles within the CN PTW and the RAN PTW, according to RAN2 definitions of UE DRX cycle in Rel-18 eRedCap.</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Observation 1: The function of the processing window and the PTW in Inactive state when discussing the eDRX and PRS/SRS alignment are similar to each other.</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sv-SE" w:eastAsia="ja-JP"/>
        </w:rPr>
      </w:pPr>
      <w:r>
        <w:rPr>
          <w:rFonts w:hint="eastAsia"/>
          <w:b/>
          <w:bCs/>
          <w:sz w:val="22"/>
          <w:szCs w:val="22"/>
          <w:lang w:val="en-US" w:eastAsia="zh-CN"/>
        </w:rPr>
        <w:t xml:space="preserve">Proposal 2: </w:t>
      </w:r>
      <w:r>
        <w:rPr>
          <w:rFonts w:hint="eastAsia"/>
          <w:b/>
          <w:bCs/>
          <w:sz w:val="22"/>
          <w:szCs w:val="22"/>
          <w:lang w:val="sv-SE" w:eastAsia="ja-JP"/>
        </w:rPr>
        <w:t>RAN4 to wait for progress in RAN2 on alignment between eDRX cycle and PRS configuration before evaluating its impact on PRS measurement requirements.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Proposal 3: RAN4 shall clarify the relationship between the processing window and the PTW in Inactive state.</w:t>
      </w:r>
    </w:p>
    <w:p>
      <w:pPr>
        <w:rPr>
          <w:lang w:val="en-GB"/>
        </w:rPr>
      </w:pPr>
    </w:p>
    <w:p>
      <w:pPr>
        <w:pStyle w:val="74"/>
        <w:numPr>
          <w:ilvl w:val="0"/>
          <w:numId w:val="0"/>
        </w:numPr>
        <w:ind w:left="360" w:hanging="360"/>
        <w:rPr>
          <w:lang w:val="en-US"/>
        </w:rPr>
      </w:pPr>
      <w:r>
        <w:rPr>
          <w:lang w:val="en-US"/>
        </w:rPr>
        <w:t>References</w:t>
      </w:r>
    </w:p>
    <w:p>
      <w:pPr>
        <w:pStyle w:val="70"/>
        <w:numPr>
          <w:ilvl w:val="0"/>
          <w:numId w:val="5"/>
        </w:numPr>
        <w:ind w:right="-22"/>
      </w:pPr>
      <w:bookmarkStart w:id="0" w:name="_Ref114500673"/>
      <w:bookmarkEnd w:id="0"/>
      <w:r>
        <w:t>RP-2</w:t>
      </w:r>
      <w:r>
        <w:rPr>
          <w:rFonts w:hint="eastAsia" w:eastAsia="宋体"/>
          <w:lang w:val="en-US" w:eastAsia="zh-CN"/>
        </w:rPr>
        <w:t>30328</w:t>
      </w:r>
      <w:r>
        <w:t>, “Study on expanded and improved NR positioning”, Intel Corporation</w:t>
      </w:r>
    </w:p>
    <w:p>
      <w:pPr>
        <w:pStyle w:val="70"/>
        <w:numPr>
          <w:ilvl w:val="0"/>
          <w:numId w:val="5"/>
        </w:numPr>
        <w:ind w:right="-22"/>
      </w:pPr>
      <w:r>
        <w:t>R4-2</w:t>
      </w:r>
      <w:r>
        <w:rPr>
          <w:rFonts w:hint="eastAsia" w:eastAsia="宋体"/>
          <w:lang w:val="en-US" w:eastAsia="zh-CN"/>
        </w:rPr>
        <w:t>314462</w:t>
      </w:r>
      <w:r>
        <w:t xml:space="preserve">, “WF on expanded and improved NR positioning study”, </w:t>
      </w:r>
      <w:r>
        <w:rPr>
          <w:rFonts w:hint="eastAsia" w:eastAsia="宋体"/>
          <w:lang w:val="en-US" w:eastAsia="zh-CN"/>
        </w:rPr>
        <w:t>Huawei</w:t>
      </w:r>
    </w:p>
    <w:p>
      <w:pPr>
        <w:pStyle w:val="70"/>
        <w:numPr>
          <w:ilvl w:val="0"/>
          <w:numId w:val="5"/>
        </w:numPr>
        <w:ind w:right="-22"/>
      </w:pPr>
      <w:r>
        <w:t>3GPP TR 38.859 V0.1.0, “Study on Expanded and Improved NR Positioning (Release 18)”</w:t>
      </w:r>
    </w:p>
    <w:p>
      <w:pPr>
        <w:pStyle w:val="70"/>
        <w:numPr>
          <w:ilvl w:val="0"/>
          <w:numId w:val="5"/>
        </w:numPr>
        <w:ind w:right="-22"/>
        <w:rPr>
          <w:lang w:val="en-US"/>
        </w:rPr>
      </w:pPr>
      <w:r>
        <w:rPr>
          <w:rFonts w:hint="eastAsia"/>
        </w:rPr>
        <w:t>R1-2211504</w:t>
      </w:r>
      <w:r>
        <w:rPr>
          <w:rFonts w:hint="eastAsia" w:eastAsia="宋体"/>
          <w:lang w:val="en-US" w:eastAsia="zh-CN"/>
        </w:rPr>
        <w:t xml:space="preserve">, </w:t>
      </w:r>
      <w:r>
        <w:rPr>
          <w:rFonts w:hint="default" w:eastAsia="宋体"/>
          <w:lang w:val="en-US" w:eastAsia="zh-CN"/>
        </w:rPr>
        <w:t>“</w:t>
      </w:r>
      <w:r>
        <w:rPr>
          <w:rFonts w:hint="eastAsia"/>
        </w:rPr>
        <w:t>Discussion on low power high accuracy positioning</w:t>
      </w:r>
      <w:r>
        <w:rPr>
          <w:rFonts w:hint="default" w:eastAsia="宋体"/>
          <w:lang w:val="en-US" w:eastAsia="zh-CN"/>
        </w:rPr>
        <w:t>”</w:t>
      </w:r>
      <w:r>
        <w:rPr>
          <w:rFonts w:hint="eastAsia" w:eastAsia="宋体"/>
          <w:lang w:val="en-US" w:eastAsia="zh-CN"/>
        </w:rPr>
        <w:t>, ZTE Corporation.</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auto"/>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2376"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A221516"/>
    <w:multiLevelType w:val="multilevel"/>
    <w:tmpl w:val="5A22151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D12A57"/>
    <w:rsid w:val="00D544DE"/>
    <w:rsid w:val="00D57972"/>
    <w:rsid w:val="00D6299F"/>
    <w:rsid w:val="00D675A9"/>
    <w:rsid w:val="00D738D6"/>
    <w:rsid w:val="00D74883"/>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6708"/>
    <w:rsid w:val="00F7733E"/>
    <w:rsid w:val="00F80895"/>
    <w:rsid w:val="00F9008D"/>
    <w:rsid w:val="00FA1266"/>
    <w:rsid w:val="00FC1192"/>
    <w:rsid w:val="018B1D6F"/>
    <w:rsid w:val="01907C39"/>
    <w:rsid w:val="0222712C"/>
    <w:rsid w:val="027313F4"/>
    <w:rsid w:val="02B51BBB"/>
    <w:rsid w:val="02DF4991"/>
    <w:rsid w:val="02E3478A"/>
    <w:rsid w:val="02F606FB"/>
    <w:rsid w:val="03987561"/>
    <w:rsid w:val="03C05278"/>
    <w:rsid w:val="03FB6BC4"/>
    <w:rsid w:val="042642A0"/>
    <w:rsid w:val="042A35D6"/>
    <w:rsid w:val="046301A2"/>
    <w:rsid w:val="048C60C9"/>
    <w:rsid w:val="04E13F4A"/>
    <w:rsid w:val="04E34F5E"/>
    <w:rsid w:val="0528639C"/>
    <w:rsid w:val="05945A70"/>
    <w:rsid w:val="05DB67C3"/>
    <w:rsid w:val="064507F7"/>
    <w:rsid w:val="06A745C7"/>
    <w:rsid w:val="06F240F7"/>
    <w:rsid w:val="06F32D1C"/>
    <w:rsid w:val="07150A56"/>
    <w:rsid w:val="075560E1"/>
    <w:rsid w:val="076170B1"/>
    <w:rsid w:val="0771776A"/>
    <w:rsid w:val="0788005C"/>
    <w:rsid w:val="079F65E1"/>
    <w:rsid w:val="07EC1E65"/>
    <w:rsid w:val="07F66AC5"/>
    <w:rsid w:val="080843A7"/>
    <w:rsid w:val="081420BA"/>
    <w:rsid w:val="081732C0"/>
    <w:rsid w:val="08230CD1"/>
    <w:rsid w:val="084C657D"/>
    <w:rsid w:val="08D56A94"/>
    <w:rsid w:val="08D850A7"/>
    <w:rsid w:val="095729A1"/>
    <w:rsid w:val="09606948"/>
    <w:rsid w:val="09671633"/>
    <w:rsid w:val="096E0D4F"/>
    <w:rsid w:val="096F0999"/>
    <w:rsid w:val="09851B6E"/>
    <w:rsid w:val="098705CA"/>
    <w:rsid w:val="09872A56"/>
    <w:rsid w:val="09D57D44"/>
    <w:rsid w:val="0A501096"/>
    <w:rsid w:val="0A6C3BCC"/>
    <w:rsid w:val="0A9F0B0A"/>
    <w:rsid w:val="0ABC02E8"/>
    <w:rsid w:val="0B1B3502"/>
    <w:rsid w:val="0B3F6621"/>
    <w:rsid w:val="0B4D684B"/>
    <w:rsid w:val="0B6A4840"/>
    <w:rsid w:val="0B707256"/>
    <w:rsid w:val="0B867E28"/>
    <w:rsid w:val="0BA6519A"/>
    <w:rsid w:val="0BD6081D"/>
    <w:rsid w:val="0C0D74EA"/>
    <w:rsid w:val="0C306AFA"/>
    <w:rsid w:val="0C886DB0"/>
    <w:rsid w:val="0C9374A2"/>
    <w:rsid w:val="0CA2556F"/>
    <w:rsid w:val="0CC050E4"/>
    <w:rsid w:val="0D377674"/>
    <w:rsid w:val="0D453BAC"/>
    <w:rsid w:val="0D506E9D"/>
    <w:rsid w:val="0D8972A3"/>
    <w:rsid w:val="0E777792"/>
    <w:rsid w:val="0E830A04"/>
    <w:rsid w:val="0E9553D1"/>
    <w:rsid w:val="0EB06587"/>
    <w:rsid w:val="0EF606C2"/>
    <w:rsid w:val="0F025E2E"/>
    <w:rsid w:val="0F4831FB"/>
    <w:rsid w:val="0F503AEA"/>
    <w:rsid w:val="0F511411"/>
    <w:rsid w:val="0FB63F96"/>
    <w:rsid w:val="0FDB4972"/>
    <w:rsid w:val="0FDE4688"/>
    <w:rsid w:val="0FE346A5"/>
    <w:rsid w:val="0FF521BC"/>
    <w:rsid w:val="1028673B"/>
    <w:rsid w:val="10347810"/>
    <w:rsid w:val="10687F0A"/>
    <w:rsid w:val="10BB3068"/>
    <w:rsid w:val="10C531CC"/>
    <w:rsid w:val="11612B3A"/>
    <w:rsid w:val="11846297"/>
    <w:rsid w:val="11EE75FC"/>
    <w:rsid w:val="129348A7"/>
    <w:rsid w:val="12C003F7"/>
    <w:rsid w:val="12D01E4D"/>
    <w:rsid w:val="131E48CC"/>
    <w:rsid w:val="134F02C5"/>
    <w:rsid w:val="13B9039D"/>
    <w:rsid w:val="13C23A1B"/>
    <w:rsid w:val="140F1836"/>
    <w:rsid w:val="14130497"/>
    <w:rsid w:val="142A2204"/>
    <w:rsid w:val="14785DC8"/>
    <w:rsid w:val="14A63B80"/>
    <w:rsid w:val="14AA405D"/>
    <w:rsid w:val="155326B6"/>
    <w:rsid w:val="15950B53"/>
    <w:rsid w:val="160929DD"/>
    <w:rsid w:val="1641036F"/>
    <w:rsid w:val="1646133C"/>
    <w:rsid w:val="16763039"/>
    <w:rsid w:val="169A4ADB"/>
    <w:rsid w:val="16BB0C4F"/>
    <w:rsid w:val="16CD4CA5"/>
    <w:rsid w:val="16E84E9D"/>
    <w:rsid w:val="170716B6"/>
    <w:rsid w:val="17104EF2"/>
    <w:rsid w:val="17263E6E"/>
    <w:rsid w:val="1743780F"/>
    <w:rsid w:val="176F3F08"/>
    <w:rsid w:val="17D01F3A"/>
    <w:rsid w:val="17FF14ED"/>
    <w:rsid w:val="18526C34"/>
    <w:rsid w:val="185A42FA"/>
    <w:rsid w:val="189466F9"/>
    <w:rsid w:val="18DB6472"/>
    <w:rsid w:val="18E96032"/>
    <w:rsid w:val="18EE62E8"/>
    <w:rsid w:val="193B59A9"/>
    <w:rsid w:val="19424803"/>
    <w:rsid w:val="19450FFD"/>
    <w:rsid w:val="1950368A"/>
    <w:rsid w:val="19530C19"/>
    <w:rsid w:val="19551A74"/>
    <w:rsid w:val="195C2D9C"/>
    <w:rsid w:val="197C2433"/>
    <w:rsid w:val="1A2553BA"/>
    <w:rsid w:val="1AC56317"/>
    <w:rsid w:val="1AED3950"/>
    <w:rsid w:val="1AEF79A8"/>
    <w:rsid w:val="1B481120"/>
    <w:rsid w:val="1B777BC9"/>
    <w:rsid w:val="1B953EDB"/>
    <w:rsid w:val="1B990279"/>
    <w:rsid w:val="1B9B4E1C"/>
    <w:rsid w:val="1B9C50E9"/>
    <w:rsid w:val="1BA81597"/>
    <w:rsid w:val="1BAD4429"/>
    <w:rsid w:val="1BB80557"/>
    <w:rsid w:val="1C06318D"/>
    <w:rsid w:val="1C0C6E69"/>
    <w:rsid w:val="1D417ABA"/>
    <w:rsid w:val="1DB35139"/>
    <w:rsid w:val="1DB553DF"/>
    <w:rsid w:val="1E194EC7"/>
    <w:rsid w:val="1EA67F04"/>
    <w:rsid w:val="1EAD4127"/>
    <w:rsid w:val="1EB8797A"/>
    <w:rsid w:val="1ED004D7"/>
    <w:rsid w:val="1EEF3FAB"/>
    <w:rsid w:val="1F25251D"/>
    <w:rsid w:val="1F2F4901"/>
    <w:rsid w:val="1F3B4A58"/>
    <w:rsid w:val="1F3F1CC1"/>
    <w:rsid w:val="1F430FAA"/>
    <w:rsid w:val="1F7E201D"/>
    <w:rsid w:val="1F831EB4"/>
    <w:rsid w:val="1F8940E3"/>
    <w:rsid w:val="1FBB5482"/>
    <w:rsid w:val="1FBE1810"/>
    <w:rsid w:val="1FF9177B"/>
    <w:rsid w:val="200D64BE"/>
    <w:rsid w:val="20170158"/>
    <w:rsid w:val="202D06F1"/>
    <w:rsid w:val="2054087E"/>
    <w:rsid w:val="20584BED"/>
    <w:rsid w:val="20AB2D2A"/>
    <w:rsid w:val="20BA76B8"/>
    <w:rsid w:val="20CC3675"/>
    <w:rsid w:val="20E32325"/>
    <w:rsid w:val="20E419F1"/>
    <w:rsid w:val="211C3169"/>
    <w:rsid w:val="2135545D"/>
    <w:rsid w:val="21361FB5"/>
    <w:rsid w:val="21492271"/>
    <w:rsid w:val="214B3D89"/>
    <w:rsid w:val="21575426"/>
    <w:rsid w:val="216C57E5"/>
    <w:rsid w:val="2177769E"/>
    <w:rsid w:val="22D611BF"/>
    <w:rsid w:val="22DA6F19"/>
    <w:rsid w:val="22EB70D9"/>
    <w:rsid w:val="22F27A48"/>
    <w:rsid w:val="230D3451"/>
    <w:rsid w:val="235F6E2A"/>
    <w:rsid w:val="238C0530"/>
    <w:rsid w:val="242371A6"/>
    <w:rsid w:val="2471281D"/>
    <w:rsid w:val="247C113F"/>
    <w:rsid w:val="247F4A5C"/>
    <w:rsid w:val="24E27779"/>
    <w:rsid w:val="25425A19"/>
    <w:rsid w:val="2583706D"/>
    <w:rsid w:val="25AB3D1C"/>
    <w:rsid w:val="25FA44CF"/>
    <w:rsid w:val="261C43A9"/>
    <w:rsid w:val="26274BB6"/>
    <w:rsid w:val="262F0D25"/>
    <w:rsid w:val="26AA20D3"/>
    <w:rsid w:val="26F81EB4"/>
    <w:rsid w:val="270022D4"/>
    <w:rsid w:val="271F0AE2"/>
    <w:rsid w:val="27310B9A"/>
    <w:rsid w:val="273E1C11"/>
    <w:rsid w:val="27446B14"/>
    <w:rsid w:val="2773508F"/>
    <w:rsid w:val="27D65541"/>
    <w:rsid w:val="27EC5FCE"/>
    <w:rsid w:val="28417461"/>
    <w:rsid w:val="284A4107"/>
    <w:rsid w:val="28667461"/>
    <w:rsid w:val="28671C46"/>
    <w:rsid w:val="2869013D"/>
    <w:rsid w:val="28825243"/>
    <w:rsid w:val="288D20D6"/>
    <w:rsid w:val="28F045AC"/>
    <w:rsid w:val="29111799"/>
    <w:rsid w:val="29572CC9"/>
    <w:rsid w:val="296D5756"/>
    <w:rsid w:val="29793F01"/>
    <w:rsid w:val="29D60A95"/>
    <w:rsid w:val="2A2D73EC"/>
    <w:rsid w:val="2A570829"/>
    <w:rsid w:val="2AA369DD"/>
    <w:rsid w:val="2ACD3A4B"/>
    <w:rsid w:val="2BBE457F"/>
    <w:rsid w:val="2BD376AF"/>
    <w:rsid w:val="2C2466CA"/>
    <w:rsid w:val="2C6E31E4"/>
    <w:rsid w:val="2CB860D6"/>
    <w:rsid w:val="2CDD5374"/>
    <w:rsid w:val="2CF06E1D"/>
    <w:rsid w:val="2D001C06"/>
    <w:rsid w:val="2DEB6D81"/>
    <w:rsid w:val="2E106E4C"/>
    <w:rsid w:val="2E4E2A6E"/>
    <w:rsid w:val="2E5E508C"/>
    <w:rsid w:val="2E7F52E5"/>
    <w:rsid w:val="2EC16714"/>
    <w:rsid w:val="2F2B12A9"/>
    <w:rsid w:val="2F2D612D"/>
    <w:rsid w:val="2F6E6454"/>
    <w:rsid w:val="2FC73BC7"/>
    <w:rsid w:val="2FE5590A"/>
    <w:rsid w:val="30160ACC"/>
    <w:rsid w:val="304E11D9"/>
    <w:rsid w:val="307F1476"/>
    <w:rsid w:val="30944718"/>
    <w:rsid w:val="30B30E5B"/>
    <w:rsid w:val="30BD0439"/>
    <w:rsid w:val="310A7569"/>
    <w:rsid w:val="317812C7"/>
    <w:rsid w:val="31AA5A4A"/>
    <w:rsid w:val="31B9498A"/>
    <w:rsid w:val="31E94032"/>
    <w:rsid w:val="31F82667"/>
    <w:rsid w:val="320C562E"/>
    <w:rsid w:val="325C6EC2"/>
    <w:rsid w:val="327A1E1C"/>
    <w:rsid w:val="33106E3B"/>
    <w:rsid w:val="33611896"/>
    <w:rsid w:val="338E080E"/>
    <w:rsid w:val="33D25846"/>
    <w:rsid w:val="345603EB"/>
    <w:rsid w:val="34B464B0"/>
    <w:rsid w:val="34E212A0"/>
    <w:rsid w:val="35175003"/>
    <w:rsid w:val="35290A77"/>
    <w:rsid w:val="356A601B"/>
    <w:rsid w:val="36225127"/>
    <w:rsid w:val="36237E20"/>
    <w:rsid w:val="36E23B75"/>
    <w:rsid w:val="3712216D"/>
    <w:rsid w:val="376C5D00"/>
    <w:rsid w:val="377F4E51"/>
    <w:rsid w:val="37A57EF7"/>
    <w:rsid w:val="37E00C85"/>
    <w:rsid w:val="382523BD"/>
    <w:rsid w:val="386F1708"/>
    <w:rsid w:val="38BF28AA"/>
    <w:rsid w:val="38D33EE0"/>
    <w:rsid w:val="391D5BB5"/>
    <w:rsid w:val="39D3500A"/>
    <w:rsid w:val="39E55169"/>
    <w:rsid w:val="3A043EAC"/>
    <w:rsid w:val="3AA02CE4"/>
    <w:rsid w:val="3AB8281F"/>
    <w:rsid w:val="3ABE2706"/>
    <w:rsid w:val="3AD1508C"/>
    <w:rsid w:val="3AD31906"/>
    <w:rsid w:val="3AE55A2B"/>
    <w:rsid w:val="3B4069B1"/>
    <w:rsid w:val="3B61770F"/>
    <w:rsid w:val="3BD85FCC"/>
    <w:rsid w:val="3C1F401C"/>
    <w:rsid w:val="3C2657B0"/>
    <w:rsid w:val="3C6D33A6"/>
    <w:rsid w:val="3C8A7DDC"/>
    <w:rsid w:val="3CBD75BF"/>
    <w:rsid w:val="3CC718BE"/>
    <w:rsid w:val="3CEA1CF8"/>
    <w:rsid w:val="3D011447"/>
    <w:rsid w:val="3D13711B"/>
    <w:rsid w:val="3D555673"/>
    <w:rsid w:val="3D876DDA"/>
    <w:rsid w:val="3D8D556E"/>
    <w:rsid w:val="3DC272D3"/>
    <w:rsid w:val="3DE613B0"/>
    <w:rsid w:val="3DF55B8D"/>
    <w:rsid w:val="3E2818E7"/>
    <w:rsid w:val="3E320B89"/>
    <w:rsid w:val="3E602085"/>
    <w:rsid w:val="3EF13BC7"/>
    <w:rsid w:val="3FAE0D30"/>
    <w:rsid w:val="3FB137E9"/>
    <w:rsid w:val="3FC033DD"/>
    <w:rsid w:val="3FD00113"/>
    <w:rsid w:val="40AF0485"/>
    <w:rsid w:val="40D34024"/>
    <w:rsid w:val="41111CB4"/>
    <w:rsid w:val="41366B89"/>
    <w:rsid w:val="414330C3"/>
    <w:rsid w:val="414C63B7"/>
    <w:rsid w:val="41771599"/>
    <w:rsid w:val="41851C58"/>
    <w:rsid w:val="41C2121C"/>
    <w:rsid w:val="41FE2E42"/>
    <w:rsid w:val="420558C2"/>
    <w:rsid w:val="421C62C3"/>
    <w:rsid w:val="42FC2A53"/>
    <w:rsid w:val="42FF71DC"/>
    <w:rsid w:val="43404E63"/>
    <w:rsid w:val="43BD5DE5"/>
    <w:rsid w:val="444D54BA"/>
    <w:rsid w:val="44870A4E"/>
    <w:rsid w:val="44A7496E"/>
    <w:rsid w:val="44B36E39"/>
    <w:rsid w:val="44EC7013"/>
    <w:rsid w:val="453129B7"/>
    <w:rsid w:val="453772D8"/>
    <w:rsid w:val="45427AA4"/>
    <w:rsid w:val="45520743"/>
    <w:rsid w:val="455B6233"/>
    <w:rsid w:val="46091CE5"/>
    <w:rsid w:val="46A9603F"/>
    <w:rsid w:val="478E3C24"/>
    <w:rsid w:val="479F514B"/>
    <w:rsid w:val="47D471D2"/>
    <w:rsid w:val="48153BEB"/>
    <w:rsid w:val="481749B5"/>
    <w:rsid w:val="482A04E3"/>
    <w:rsid w:val="485118DF"/>
    <w:rsid w:val="48537C3E"/>
    <w:rsid w:val="485A1B60"/>
    <w:rsid w:val="4867453B"/>
    <w:rsid w:val="48954080"/>
    <w:rsid w:val="48CB1CC0"/>
    <w:rsid w:val="4905017F"/>
    <w:rsid w:val="49363170"/>
    <w:rsid w:val="495248CF"/>
    <w:rsid w:val="49582843"/>
    <w:rsid w:val="499305D6"/>
    <w:rsid w:val="499975A6"/>
    <w:rsid w:val="49A765BB"/>
    <w:rsid w:val="49C8100A"/>
    <w:rsid w:val="49D6733B"/>
    <w:rsid w:val="4A1D27D9"/>
    <w:rsid w:val="4A2B1E2F"/>
    <w:rsid w:val="4A7758D0"/>
    <w:rsid w:val="4A885CE1"/>
    <w:rsid w:val="4ABF4181"/>
    <w:rsid w:val="4AC03DC8"/>
    <w:rsid w:val="4B206934"/>
    <w:rsid w:val="4B571928"/>
    <w:rsid w:val="4C232A36"/>
    <w:rsid w:val="4C315980"/>
    <w:rsid w:val="4C6F66E5"/>
    <w:rsid w:val="4C8535A1"/>
    <w:rsid w:val="4CB8134C"/>
    <w:rsid w:val="4CBB3980"/>
    <w:rsid w:val="4CD362B7"/>
    <w:rsid w:val="4D734EF6"/>
    <w:rsid w:val="4D854E3E"/>
    <w:rsid w:val="4D9D1E1A"/>
    <w:rsid w:val="4DA27934"/>
    <w:rsid w:val="4DF22D6C"/>
    <w:rsid w:val="4DFA799E"/>
    <w:rsid w:val="4E382E8E"/>
    <w:rsid w:val="4E3E6F9A"/>
    <w:rsid w:val="4E935B40"/>
    <w:rsid w:val="4E993495"/>
    <w:rsid w:val="4EB2058C"/>
    <w:rsid w:val="4EE52BDF"/>
    <w:rsid w:val="4F077813"/>
    <w:rsid w:val="4F1B2096"/>
    <w:rsid w:val="4F1D369F"/>
    <w:rsid w:val="4F290247"/>
    <w:rsid w:val="4F433DC8"/>
    <w:rsid w:val="4FA14EEC"/>
    <w:rsid w:val="4FB87F73"/>
    <w:rsid w:val="4FF00AEC"/>
    <w:rsid w:val="4FF77B7C"/>
    <w:rsid w:val="508364E6"/>
    <w:rsid w:val="50D77D3F"/>
    <w:rsid w:val="50F42824"/>
    <w:rsid w:val="51286AE9"/>
    <w:rsid w:val="51440EB8"/>
    <w:rsid w:val="5173229A"/>
    <w:rsid w:val="51B463DB"/>
    <w:rsid w:val="51BD3871"/>
    <w:rsid w:val="520F3488"/>
    <w:rsid w:val="52853336"/>
    <w:rsid w:val="52881D50"/>
    <w:rsid w:val="52B368E2"/>
    <w:rsid w:val="53096907"/>
    <w:rsid w:val="532D7679"/>
    <w:rsid w:val="534257EE"/>
    <w:rsid w:val="53463941"/>
    <w:rsid w:val="53707DDE"/>
    <w:rsid w:val="53D41A3B"/>
    <w:rsid w:val="53EE67E9"/>
    <w:rsid w:val="54077AA9"/>
    <w:rsid w:val="540B5619"/>
    <w:rsid w:val="541411EB"/>
    <w:rsid w:val="543B7F19"/>
    <w:rsid w:val="54591CDE"/>
    <w:rsid w:val="545D1AE0"/>
    <w:rsid w:val="547348DC"/>
    <w:rsid w:val="548A1719"/>
    <w:rsid w:val="54A7430B"/>
    <w:rsid w:val="55274423"/>
    <w:rsid w:val="5589190F"/>
    <w:rsid w:val="55FA70EF"/>
    <w:rsid w:val="562D2D92"/>
    <w:rsid w:val="5652511E"/>
    <w:rsid w:val="56832D98"/>
    <w:rsid w:val="56BB6658"/>
    <w:rsid w:val="56FB2168"/>
    <w:rsid w:val="570B7DE5"/>
    <w:rsid w:val="57364F53"/>
    <w:rsid w:val="5739320B"/>
    <w:rsid w:val="576B3E84"/>
    <w:rsid w:val="57C568C3"/>
    <w:rsid w:val="580209B9"/>
    <w:rsid w:val="58510290"/>
    <w:rsid w:val="585572BE"/>
    <w:rsid w:val="587B6DCE"/>
    <w:rsid w:val="588B5AE5"/>
    <w:rsid w:val="58C64CF3"/>
    <w:rsid w:val="58CB3B78"/>
    <w:rsid w:val="592375BD"/>
    <w:rsid w:val="598E5223"/>
    <w:rsid w:val="59EF4F63"/>
    <w:rsid w:val="5A046FEE"/>
    <w:rsid w:val="5A4A6B8D"/>
    <w:rsid w:val="5A723A0D"/>
    <w:rsid w:val="5A762255"/>
    <w:rsid w:val="5A9D621A"/>
    <w:rsid w:val="5AB064CD"/>
    <w:rsid w:val="5ACF40CD"/>
    <w:rsid w:val="5AEE34FF"/>
    <w:rsid w:val="5B760457"/>
    <w:rsid w:val="5BD12AF3"/>
    <w:rsid w:val="5BD637EC"/>
    <w:rsid w:val="5BDE5A43"/>
    <w:rsid w:val="5C34166A"/>
    <w:rsid w:val="5C5F1A44"/>
    <w:rsid w:val="5C7A69B1"/>
    <w:rsid w:val="5CA756EA"/>
    <w:rsid w:val="5CB85CE9"/>
    <w:rsid w:val="5D230368"/>
    <w:rsid w:val="5D4123BC"/>
    <w:rsid w:val="5D5259D9"/>
    <w:rsid w:val="5DE77099"/>
    <w:rsid w:val="5E1463C6"/>
    <w:rsid w:val="5E537F88"/>
    <w:rsid w:val="5E7432C1"/>
    <w:rsid w:val="5E754B27"/>
    <w:rsid w:val="5E8A5F48"/>
    <w:rsid w:val="5F892553"/>
    <w:rsid w:val="5F9E4807"/>
    <w:rsid w:val="5F9F3453"/>
    <w:rsid w:val="5FCE5845"/>
    <w:rsid w:val="5FF07432"/>
    <w:rsid w:val="5FF36B68"/>
    <w:rsid w:val="5FF94643"/>
    <w:rsid w:val="60263458"/>
    <w:rsid w:val="607A4BA9"/>
    <w:rsid w:val="60A859A2"/>
    <w:rsid w:val="60D94311"/>
    <w:rsid w:val="60F83A81"/>
    <w:rsid w:val="612B6AD8"/>
    <w:rsid w:val="6140688E"/>
    <w:rsid w:val="62106F71"/>
    <w:rsid w:val="622E1F65"/>
    <w:rsid w:val="62F67597"/>
    <w:rsid w:val="62FB1D23"/>
    <w:rsid w:val="630C34D0"/>
    <w:rsid w:val="63146847"/>
    <w:rsid w:val="633824E2"/>
    <w:rsid w:val="63446C90"/>
    <w:rsid w:val="63494373"/>
    <w:rsid w:val="63EA5541"/>
    <w:rsid w:val="63F75B8A"/>
    <w:rsid w:val="64312F66"/>
    <w:rsid w:val="64324BD3"/>
    <w:rsid w:val="647F6D16"/>
    <w:rsid w:val="64EB1866"/>
    <w:rsid w:val="64F90B20"/>
    <w:rsid w:val="656E7AEE"/>
    <w:rsid w:val="65A240BE"/>
    <w:rsid w:val="65A273A9"/>
    <w:rsid w:val="6682104F"/>
    <w:rsid w:val="66A43BD5"/>
    <w:rsid w:val="66C42438"/>
    <w:rsid w:val="671943EE"/>
    <w:rsid w:val="673E3C3E"/>
    <w:rsid w:val="674E06A1"/>
    <w:rsid w:val="679D7D9D"/>
    <w:rsid w:val="67B84A87"/>
    <w:rsid w:val="67E824D2"/>
    <w:rsid w:val="682E6821"/>
    <w:rsid w:val="685A52F7"/>
    <w:rsid w:val="68814B2E"/>
    <w:rsid w:val="68A54006"/>
    <w:rsid w:val="68D42FFF"/>
    <w:rsid w:val="68E84B74"/>
    <w:rsid w:val="6914516D"/>
    <w:rsid w:val="69B11424"/>
    <w:rsid w:val="69D9569F"/>
    <w:rsid w:val="6A3001E9"/>
    <w:rsid w:val="6A411CDB"/>
    <w:rsid w:val="6A5A7D49"/>
    <w:rsid w:val="6A744564"/>
    <w:rsid w:val="6A9E00E8"/>
    <w:rsid w:val="6AB7483D"/>
    <w:rsid w:val="6AE74E23"/>
    <w:rsid w:val="6B0D2C77"/>
    <w:rsid w:val="6B8E2CC8"/>
    <w:rsid w:val="6BA01D2E"/>
    <w:rsid w:val="6BA6445F"/>
    <w:rsid w:val="6BB205F9"/>
    <w:rsid w:val="6BB554FE"/>
    <w:rsid w:val="6BC42A0E"/>
    <w:rsid w:val="6BEC7029"/>
    <w:rsid w:val="6BF65521"/>
    <w:rsid w:val="6C1363EA"/>
    <w:rsid w:val="6C313314"/>
    <w:rsid w:val="6C9803A4"/>
    <w:rsid w:val="6CC37EAC"/>
    <w:rsid w:val="6CC525CA"/>
    <w:rsid w:val="6CD84C1C"/>
    <w:rsid w:val="6D243939"/>
    <w:rsid w:val="6D377DBC"/>
    <w:rsid w:val="6D447778"/>
    <w:rsid w:val="6D470009"/>
    <w:rsid w:val="6D4747C6"/>
    <w:rsid w:val="6D650A64"/>
    <w:rsid w:val="6D84645E"/>
    <w:rsid w:val="6D9D7D11"/>
    <w:rsid w:val="6DA006DC"/>
    <w:rsid w:val="6DF362B1"/>
    <w:rsid w:val="6DFC3789"/>
    <w:rsid w:val="6E017E98"/>
    <w:rsid w:val="6E2607E4"/>
    <w:rsid w:val="6E295EDD"/>
    <w:rsid w:val="6E5261F1"/>
    <w:rsid w:val="6E7D48F4"/>
    <w:rsid w:val="6EBF5CF8"/>
    <w:rsid w:val="6EE10B05"/>
    <w:rsid w:val="6F0472BB"/>
    <w:rsid w:val="6F5B3B07"/>
    <w:rsid w:val="6F6C74CA"/>
    <w:rsid w:val="6F7A7501"/>
    <w:rsid w:val="6F7F6A79"/>
    <w:rsid w:val="6F8E5D54"/>
    <w:rsid w:val="6FA84AD2"/>
    <w:rsid w:val="6FAD5E72"/>
    <w:rsid w:val="6FCC50AE"/>
    <w:rsid w:val="6FE54985"/>
    <w:rsid w:val="70024D16"/>
    <w:rsid w:val="70222BB1"/>
    <w:rsid w:val="70C410F0"/>
    <w:rsid w:val="70D73C1D"/>
    <w:rsid w:val="710A4C4B"/>
    <w:rsid w:val="715239B8"/>
    <w:rsid w:val="716A1DB5"/>
    <w:rsid w:val="719B2013"/>
    <w:rsid w:val="71B30005"/>
    <w:rsid w:val="71B752EE"/>
    <w:rsid w:val="71C710EE"/>
    <w:rsid w:val="71E50517"/>
    <w:rsid w:val="724062B5"/>
    <w:rsid w:val="724128A7"/>
    <w:rsid w:val="725716A5"/>
    <w:rsid w:val="72700C83"/>
    <w:rsid w:val="72902145"/>
    <w:rsid w:val="72E54624"/>
    <w:rsid w:val="731B6E8C"/>
    <w:rsid w:val="737717A6"/>
    <w:rsid w:val="73F65CA7"/>
    <w:rsid w:val="74044161"/>
    <w:rsid w:val="744446C4"/>
    <w:rsid w:val="744E6EF3"/>
    <w:rsid w:val="74EE31EA"/>
    <w:rsid w:val="751D12C7"/>
    <w:rsid w:val="75810DBF"/>
    <w:rsid w:val="75842DFC"/>
    <w:rsid w:val="75930C78"/>
    <w:rsid w:val="75BE0722"/>
    <w:rsid w:val="75E206DF"/>
    <w:rsid w:val="75F520B4"/>
    <w:rsid w:val="76175817"/>
    <w:rsid w:val="762441D9"/>
    <w:rsid w:val="76AC10F5"/>
    <w:rsid w:val="770D7048"/>
    <w:rsid w:val="77247924"/>
    <w:rsid w:val="7726248F"/>
    <w:rsid w:val="7733179A"/>
    <w:rsid w:val="773B2E6E"/>
    <w:rsid w:val="777B34B1"/>
    <w:rsid w:val="77BB7F93"/>
    <w:rsid w:val="77CA4A0D"/>
    <w:rsid w:val="77D62A56"/>
    <w:rsid w:val="77E62733"/>
    <w:rsid w:val="77F84B71"/>
    <w:rsid w:val="78293DC3"/>
    <w:rsid w:val="785D218D"/>
    <w:rsid w:val="78945F98"/>
    <w:rsid w:val="78CB0936"/>
    <w:rsid w:val="78EF19AD"/>
    <w:rsid w:val="79307089"/>
    <w:rsid w:val="79A56DCA"/>
    <w:rsid w:val="79A86542"/>
    <w:rsid w:val="79F24E94"/>
    <w:rsid w:val="7A09461D"/>
    <w:rsid w:val="7A3A078E"/>
    <w:rsid w:val="7A761CB9"/>
    <w:rsid w:val="7A817A12"/>
    <w:rsid w:val="7A850292"/>
    <w:rsid w:val="7A862724"/>
    <w:rsid w:val="7AB33828"/>
    <w:rsid w:val="7AC528C4"/>
    <w:rsid w:val="7ADD5630"/>
    <w:rsid w:val="7B0320BB"/>
    <w:rsid w:val="7B5622D1"/>
    <w:rsid w:val="7B6104D6"/>
    <w:rsid w:val="7BCD7043"/>
    <w:rsid w:val="7BD77C15"/>
    <w:rsid w:val="7C120FB7"/>
    <w:rsid w:val="7C1C7594"/>
    <w:rsid w:val="7C902456"/>
    <w:rsid w:val="7CC2507B"/>
    <w:rsid w:val="7CEC648C"/>
    <w:rsid w:val="7D1715EF"/>
    <w:rsid w:val="7D863BBB"/>
    <w:rsid w:val="7DAA16F6"/>
    <w:rsid w:val="7DD04E7D"/>
    <w:rsid w:val="7E183EEA"/>
    <w:rsid w:val="7E855AE7"/>
    <w:rsid w:val="7E9D718F"/>
    <w:rsid w:val="7EA06837"/>
    <w:rsid w:val="7EC80D2A"/>
    <w:rsid w:val="7EDA519B"/>
    <w:rsid w:val="7EF91FD7"/>
    <w:rsid w:val="7F8015FB"/>
    <w:rsid w:val="7F912BF1"/>
    <w:rsid w:val="7FD16149"/>
    <w:rsid w:val="7FFF47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5"/>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2</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2023-09-27T09:07:50Z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2AE582190A36465C90E3406AA3CBEF0A</vt:lpwstr>
  </property>
</Properties>
</file>